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936" w:rsidRPr="00D360A7" w:rsidRDefault="00FE4936" w:rsidP="00F34438">
      <w:pPr>
        <w:rPr>
          <w:color w:val="FF0000"/>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1"/>
        <w:gridCol w:w="11399"/>
      </w:tblGrid>
      <w:tr w:rsidR="00BF3EAC" w:rsidRPr="00D360A7" w:rsidTr="00C23F87">
        <w:trPr>
          <w:cantSplit/>
          <w:trHeight w:val="238"/>
        </w:trPr>
        <w:tc>
          <w:tcPr>
            <w:tcW w:w="0" w:type="auto"/>
            <w:shd w:val="clear" w:color="auto" w:fill="auto"/>
          </w:tcPr>
          <w:p w:rsidR="00B245C2" w:rsidRPr="00FB79C6" w:rsidRDefault="00B245C2" w:rsidP="00F34438">
            <w:pPr>
              <w:rPr>
                <w:b/>
                <w:sz w:val="20"/>
                <w:szCs w:val="20"/>
              </w:rPr>
            </w:pPr>
            <w:r w:rsidRPr="00FB79C6">
              <w:rPr>
                <w:b/>
                <w:sz w:val="20"/>
                <w:szCs w:val="20"/>
              </w:rPr>
              <w:t>CFR Reference</w:t>
            </w:r>
          </w:p>
        </w:tc>
        <w:tc>
          <w:tcPr>
            <w:tcW w:w="0" w:type="auto"/>
            <w:shd w:val="clear" w:color="auto" w:fill="auto"/>
          </w:tcPr>
          <w:p w:rsidR="00B245C2" w:rsidRPr="00FB79C6" w:rsidRDefault="00B245C2" w:rsidP="00F34438">
            <w:pPr>
              <w:jc w:val="center"/>
              <w:rPr>
                <w:b/>
                <w:bCs/>
                <w:sz w:val="20"/>
                <w:szCs w:val="20"/>
              </w:rPr>
            </w:pPr>
            <w:r w:rsidRPr="00FB79C6">
              <w:rPr>
                <w:b/>
                <w:bCs/>
                <w:sz w:val="20"/>
                <w:szCs w:val="20"/>
              </w:rPr>
              <w:t>Summary of Changes to CFR</w:t>
            </w:r>
          </w:p>
        </w:tc>
      </w:tr>
      <w:tr w:rsidR="00BF3EAC" w:rsidRPr="00D360A7" w:rsidTr="00F34438">
        <w:trPr>
          <w:trHeight w:val="1286"/>
        </w:trPr>
        <w:tc>
          <w:tcPr>
            <w:tcW w:w="0" w:type="auto"/>
            <w:shd w:val="clear" w:color="auto" w:fill="auto"/>
          </w:tcPr>
          <w:p w:rsidR="00805266" w:rsidRPr="00BF3EAC" w:rsidRDefault="00805266" w:rsidP="00805266">
            <w:pPr>
              <w:rPr>
                <w:sz w:val="20"/>
                <w:szCs w:val="20"/>
              </w:rPr>
            </w:pPr>
            <w:r w:rsidRPr="00BF3EAC">
              <w:rPr>
                <w:sz w:val="20"/>
                <w:szCs w:val="20"/>
              </w:rPr>
              <w:t>40 CFR 61</w:t>
            </w:r>
          </w:p>
        </w:tc>
        <w:tc>
          <w:tcPr>
            <w:tcW w:w="0" w:type="auto"/>
            <w:shd w:val="clear" w:color="auto" w:fill="auto"/>
          </w:tcPr>
          <w:p w:rsidR="00805266" w:rsidRPr="00BF3EAC" w:rsidRDefault="00805266" w:rsidP="00805266">
            <w:pPr>
              <w:rPr>
                <w:sz w:val="20"/>
                <w:szCs w:val="20"/>
              </w:rPr>
            </w:pPr>
            <w:r w:rsidRPr="00BF3EAC">
              <w:rPr>
                <w:sz w:val="20"/>
                <w:szCs w:val="20"/>
              </w:rPr>
              <w:t>40 CFR 61</w:t>
            </w:r>
          </w:p>
          <w:p w:rsidR="00BF3EAC" w:rsidRPr="00BF3EAC" w:rsidRDefault="00BF3EAC" w:rsidP="00805266">
            <w:pPr>
              <w:rPr>
                <w:sz w:val="20"/>
                <w:szCs w:val="20"/>
              </w:rPr>
            </w:pPr>
            <w:r w:rsidRPr="00BF3EAC">
              <w:rPr>
                <w:sz w:val="20"/>
                <w:szCs w:val="20"/>
              </w:rPr>
              <w:t>On October 2, 2019, the Environmental Protection Agency (EPA) Region 1 Administrator signed a Memorandum of Agreement (MOA) between EPA Region 1 and the Connecticut Department of Energy and Environmental Protection (CT DEEP) for delegation of New Source Performance Standards (NSPS) and National Emissions Standards for Hazardous Air Pollutants (NESHAPs). The MOA was signed by the Commissioner of CT DEEP on September 10, 2019. To inform the public of the EPA and CT DEEP’s October 2, 2019 MOA regarding delegation of NSPS and NESHAPs, the EPA is making a copy of the MOA</w:t>
            </w:r>
          </w:p>
          <w:p w:rsidR="00BF3EAC" w:rsidRDefault="00BF3EAC" w:rsidP="00805266">
            <w:pPr>
              <w:rPr>
                <w:b/>
                <w:sz w:val="20"/>
                <w:szCs w:val="20"/>
              </w:rPr>
            </w:pPr>
            <w:r w:rsidRPr="00BF3EAC">
              <w:rPr>
                <w:b/>
                <w:sz w:val="20"/>
                <w:szCs w:val="20"/>
              </w:rPr>
              <w:t>January 31, 2020 FR Vol 85 No. 21</w:t>
            </w:r>
          </w:p>
          <w:p w:rsidR="00BF3EAC" w:rsidRDefault="00BF3EAC" w:rsidP="00805266">
            <w:pPr>
              <w:rPr>
                <w:b/>
                <w:sz w:val="20"/>
                <w:szCs w:val="20"/>
              </w:rPr>
            </w:pPr>
          </w:p>
          <w:p w:rsidR="00BF3EAC" w:rsidRDefault="00BF3EAC" w:rsidP="00805266">
            <w:pPr>
              <w:rPr>
                <w:sz w:val="20"/>
                <w:szCs w:val="20"/>
              </w:rPr>
            </w:pPr>
            <w:r w:rsidRPr="00BF3EAC">
              <w:rPr>
                <w:sz w:val="20"/>
                <w:szCs w:val="20"/>
              </w:rPr>
              <w:t xml:space="preserve">■ 9. In § 61.04, amend paragraph (a) by revising the Region I address, and by revising paragraphs (b)(8), (b)(21), (b)(23), (b)(31), (b)(41) and (b)(47), to read as follows: </w:t>
            </w:r>
          </w:p>
          <w:p w:rsidR="00BF3EAC" w:rsidRDefault="00BF3EAC" w:rsidP="00805266">
            <w:pPr>
              <w:rPr>
                <w:sz w:val="20"/>
                <w:szCs w:val="20"/>
              </w:rPr>
            </w:pPr>
            <w:r w:rsidRPr="00BF3EAC">
              <w:rPr>
                <w:sz w:val="20"/>
                <w:szCs w:val="20"/>
              </w:rPr>
              <w:t xml:space="preserve">§ 61.04 Address. (a) * * * Region I (Connecticut, Maine, Massachusetts, New Hampshire, Rhode Island, Vermont) Director, Enforcement and Compliance Assurance Division, U.S. EPA Region I, 5 Post Office Square—Suite 100 (04–2), Boston, MA 02109–3912, Attn: Air Compliance Clerk. * * * * * </w:t>
            </w:r>
          </w:p>
          <w:p w:rsidR="00BF3EAC" w:rsidRDefault="00BF3EAC" w:rsidP="00805266">
            <w:pPr>
              <w:rPr>
                <w:sz w:val="20"/>
                <w:szCs w:val="20"/>
              </w:rPr>
            </w:pPr>
            <w:r w:rsidRPr="00BF3EAC">
              <w:rPr>
                <w:sz w:val="20"/>
                <w:szCs w:val="20"/>
              </w:rPr>
              <w:t xml:space="preserve">(b) * * * (8) State of Connecticut: Compliance Analysis and Coordination Unit, Bureau of Air Management, Department of Energy and Environmental Protection, 79 Elm Street, 5th Floor, Hartford, CT 06106–5127. * * * * * </w:t>
            </w:r>
          </w:p>
          <w:p w:rsidR="00BF3EAC" w:rsidRDefault="00BF3EAC" w:rsidP="00805266">
            <w:pPr>
              <w:rPr>
                <w:sz w:val="20"/>
                <w:szCs w:val="20"/>
              </w:rPr>
            </w:pPr>
            <w:r w:rsidRPr="00BF3EAC">
              <w:rPr>
                <w:sz w:val="20"/>
                <w:szCs w:val="20"/>
              </w:rPr>
              <w:t xml:space="preserve">(21) State of Maine: Maine Department of Environmental Protection, Bureau of Air Quality, 17 State House Station, Augusta, ME 04333–0017. * * * * * </w:t>
            </w:r>
          </w:p>
          <w:p w:rsidR="00BF3EAC" w:rsidRDefault="00BF3EAC" w:rsidP="00805266">
            <w:pPr>
              <w:rPr>
                <w:sz w:val="20"/>
                <w:szCs w:val="20"/>
              </w:rPr>
            </w:pPr>
            <w:r w:rsidRPr="00BF3EAC">
              <w:rPr>
                <w:sz w:val="20"/>
                <w:szCs w:val="20"/>
              </w:rPr>
              <w:t>(23) Commonwealth of Massachusetts, Massachusetts Department of Environmental Protection, Division of Air and Climate Programs, One Winter Street, Boston, MA 02108. * * * * *</w:t>
            </w:r>
          </w:p>
          <w:p w:rsidR="00BF3EAC" w:rsidRDefault="00BF3EAC" w:rsidP="00805266">
            <w:pPr>
              <w:rPr>
                <w:sz w:val="20"/>
                <w:szCs w:val="20"/>
              </w:rPr>
            </w:pPr>
            <w:r w:rsidRPr="00BF3EAC">
              <w:rPr>
                <w:sz w:val="20"/>
                <w:szCs w:val="20"/>
              </w:rPr>
              <w:t xml:space="preserve"> (31) State of New Hampshire, New Hampshire Department of Environmental Services, Air Resources Division, 29 Hazen Drive, P.O. Box 95, Concord, NH 03302–0095. * * * * *</w:t>
            </w:r>
          </w:p>
          <w:p w:rsidR="00BF3EAC" w:rsidRDefault="00BF3EAC" w:rsidP="00805266">
            <w:pPr>
              <w:rPr>
                <w:sz w:val="20"/>
                <w:szCs w:val="20"/>
              </w:rPr>
            </w:pPr>
            <w:r w:rsidRPr="00BF3EAC">
              <w:rPr>
                <w:sz w:val="20"/>
                <w:szCs w:val="20"/>
              </w:rPr>
              <w:t xml:space="preserve"> (41) State of Rhode Island, Rhode Island Department of Environmental Management, Office of Air Resources, 235 Promenade Street, Providence, RI 02908. * * * * * </w:t>
            </w:r>
          </w:p>
          <w:p w:rsidR="00BF3EAC" w:rsidRDefault="00BF3EAC" w:rsidP="00805266">
            <w:pPr>
              <w:rPr>
                <w:sz w:val="20"/>
                <w:szCs w:val="20"/>
              </w:rPr>
            </w:pPr>
            <w:r w:rsidRPr="00BF3EAC">
              <w:rPr>
                <w:sz w:val="20"/>
                <w:szCs w:val="20"/>
              </w:rPr>
              <w:t>(47) State of Vermont, Agency of Natural Resources, Department of Environmental Conservation, Air Quality and Climate Division, Davis 2, One National L</w:t>
            </w:r>
            <w:r w:rsidRPr="00BF3EAC">
              <w:rPr>
                <w:sz w:val="20"/>
                <w:szCs w:val="20"/>
              </w:rPr>
              <w:t>ife Drive, Montpelier, VT 05620-3802.</w:t>
            </w:r>
          </w:p>
          <w:p w:rsidR="00BF3EAC" w:rsidRDefault="00BF3EAC" w:rsidP="00805266">
            <w:pPr>
              <w:rPr>
                <w:b/>
                <w:sz w:val="20"/>
                <w:szCs w:val="20"/>
              </w:rPr>
            </w:pPr>
            <w:r>
              <w:rPr>
                <w:b/>
                <w:sz w:val="20"/>
                <w:szCs w:val="20"/>
              </w:rPr>
              <w:t>July 17, 2019. FR Vol 84 No. 137</w:t>
            </w:r>
          </w:p>
          <w:p w:rsidR="00BF3EAC" w:rsidRDefault="00BF3EAC" w:rsidP="00805266">
            <w:pPr>
              <w:rPr>
                <w:b/>
                <w:sz w:val="20"/>
                <w:szCs w:val="20"/>
              </w:rPr>
            </w:pPr>
          </w:p>
          <w:p w:rsidR="00BF3EAC" w:rsidRDefault="00BF3EAC" w:rsidP="00805266">
            <w:pPr>
              <w:rPr>
                <w:sz w:val="20"/>
                <w:szCs w:val="20"/>
              </w:rPr>
            </w:pPr>
            <w:r w:rsidRPr="00BF3EAC">
              <w:rPr>
                <w:sz w:val="20"/>
                <w:szCs w:val="20"/>
              </w:rPr>
              <w:t>■ 28. Section 60.4 is amended in paragraph (a) by revising ‘‘Region VI’’ to read as follows:</w:t>
            </w:r>
          </w:p>
          <w:p w:rsidR="00BF3EAC" w:rsidRDefault="00BF3EAC" w:rsidP="00805266">
            <w:pPr>
              <w:rPr>
                <w:sz w:val="20"/>
                <w:szCs w:val="20"/>
              </w:rPr>
            </w:pPr>
            <w:r w:rsidRPr="00BF3EAC">
              <w:rPr>
                <w:sz w:val="20"/>
                <w:szCs w:val="20"/>
              </w:rPr>
              <w:t xml:space="preserve"> § 60.4 Address. (a) * * * Region VI (Arkansas, Louisiana, New Mexico, Oklahoma, Texas); Director; Enforcement and Compliance Assurance Division; U.S. Environmental Protection Agency, 1201 Elm Street, Suite 500, Mail Code 6ECD, Dallas, Texas 75270– 2102. * </w:t>
            </w:r>
          </w:p>
          <w:p w:rsidR="00BF3EAC" w:rsidRDefault="00BF3EAC" w:rsidP="00805266">
            <w:pPr>
              <w:rPr>
                <w:b/>
                <w:sz w:val="20"/>
                <w:szCs w:val="20"/>
              </w:rPr>
            </w:pPr>
            <w:r>
              <w:rPr>
                <w:b/>
                <w:sz w:val="20"/>
                <w:szCs w:val="20"/>
              </w:rPr>
              <w:t>August 23, 2019. FR Vol 84 No. 164</w:t>
            </w:r>
          </w:p>
          <w:p w:rsidR="00BF3EAC" w:rsidRDefault="00BF3EAC" w:rsidP="00805266">
            <w:pPr>
              <w:rPr>
                <w:b/>
                <w:sz w:val="20"/>
                <w:szCs w:val="20"/>
              </w:rPr>
            </w:pPr>
          </w:p>
          <w:p w:rsidR="00BF3EAC" w:rsidRPr="00BF3EAC" w:rsidRDefault="00BF3EAC" w:rsidP="00805266">
            <w:pPr>
              <w:rPr>
                <w:b/>
                <w:sz w:val="20"/>
                <w:szCs w:val="20"/>
              </w:rPr>
            </w:pPr>
            <w:r w:rsidRPr="00BF3EAC">
              <w:rPr>
                <w:sz w:val="20"/>
                <w:szCs w:val="20"/>
              </w:rPr>
              <w:t xml:space="preserve">■ 4. Section 61.04 is amended by revising the table in paragraphs (c)(9)(i) and (iv) to read as follows: § 61.04 </w:t>
            </w:r>
          </w:p>
        </w:tc>
      </w:tr>
      <w:tr w:rsidR="00BF3EAC" w:rsidRPr="00D360A7" w:rsidTr="00BF3EAC">
        <w:trPr>
          <w:trHeight w:val="863"/>
        </w:trPr>
        <w:tc>
          <w:tcPr>
            <w:tcW w:w="0" w:type="auto"/>
            <w:shd w:val="clear" w:color="auto" w:fill="auto"/>
          </w:tcPr>
          <w:p w:rsidR="00805266" w:rsidRPr="000210AC" w:rsidRDefault="00805266" w:rsidP="00805266">
            <w:pPr>
              <w:rPr>
                <w:sz w:val="20"/>
                <w:szCs w:val="20"/>
              </w:rPr>
            </w:pPr>
            <w:r w:rsidRPr="000210AC">
              <w:rPr>
                <w:sz w:val="20"/>
                <w:szCs w:val="20"/>
              </w:rPr>
              <w:lastRenderedPageBreak/>
              <w:t>40 CFR 63.600-63.611 (Subpart AA)</w:t>
            </w:r>
          </w:p>
        </w:tc>
        <w:tc>
          <w:tcPr>
            <w:tcW w:w="0" w:type="auto"/>
            <w:shd w:val="clear" w:color="auto" w:fill="auto"/>
          </w:tcPr>
          <w:p w:rsidR="00AB16CA" w:rsidRPr="000210AC" w:rsidRDefault="00BF3EAC" w:rsidP="00805266">
            <w:pPr>
              <w:autoSpaceDE w:val="0"/>
              <w:autoSpaceDN w:val="0"/>
              <w:adjustRightInd w:val="0"/>
              <w:rPr>
                <w:sz w:val="20"/>
                <w:szCs w:val="20"/>
              </w:rPr>
            </w:pPr>
            <w:r w:rsidRPr="000210AC">
              <w:rPr>
                <w:sz w:val="20"/>
                <w:szCs w:val="20"/>
              </w:rPr>
              <w:t>No Changes</w:t>
            </w:r>
          </w:p>
        </w:tc>
      </w:tr>
      <w:tr w:rsidR="00BF3EAC" w:rsidRPr="00D360A7" w:rsidTr="00C117EE">
        <w:trPr>
          <w:trHeight w:val="800"/>
        </w:trPr>
        <w:tc>
          <w:tcPr>
            <w:tcW w:w="0" w:type="auto"/>
            <w:shd w:val="clear" w:color="auto" w:fill="auto"/>
          </w:tcPr>
          <w:p w:rsidR="00805266" w:rsidRPr="000210AC" w:rsidRDefault="00805266" w:rsidP="00805266">
            <w:pPr>
              <w:rPr>
                <w:sz w:val="20"/>
                <w:szCs w:val="20"/>
              </w:rPr>
            </w:pPr>
            <w:r w:rsidRPr="000210AC">
              <w:rPr>
                <w:sz w:val="20"/>
                <w:szCs w:val="20"/>
              </w:rPr>
              <w:t>63.620--63.632 (Subpart BB)</w:t>
            </w:r>
          </w:p>
        </w:tc>
        <w:tc>
          <w:tcPr>
            <w:tcW w:w="0" w:type="auto"/>
            <w:shd w:val="clear" w:color="auto" w:fill="auto"/>
          </w:tcPr>
          <w:p w:rsidR="00AB16CA" w:rsidRPr="000210AC" w:rsidRDefault="00C117EE" w:rsidP="00805266">
            <w:pPr>
              <w:autoSpaceDE w:val="0"/>
              <w:autoSpaceDN w:val="0"/>
              <w:adjustRightInd w:val="0"/>
              <w:rPr>
                <w:sz w:val="20"/>
                <w:szCs w:val="20"/>
              </w:rPr>
            </w:pPr>
            <w:r w:rsidRPr="000210AC">
              <w:rPr>
                <w:sz w:val="20"/>
                <w:szCs w:val="20"/>
              </w:rPr>
              <w:t>No Changes</w:t>
            </w:r>
          </w:p>
        </w:tc>
      </w:tr>
      <w:tr w:rsidR="00BF3EAC" w:rsidRPr="00D360A7" w:rsidTr="00F34438">
        <w:trPr>
          <w:trHeight w:val="737"/>
        </w:trPr>
        <w:tc>
          <w:tcPr>
            <w:tcW w:w="0" w:type="auto"/>
            <w:shd w:val="clear" w:color="auto" w:fill="auto"/>
          </w:tcPr>
          <w:p w:rsidR="00805266" w:rsidRPr="000210AC" w:rsidRDefault="00805266" w:rsidP="00805266">
            <w:pPr>
              <w:pStyle w:val="HTMLPreformatted"/>
              <w:rPr>
                <w:rFonts w:ascii="Times New Roman" w:hAnsi="Times New Roman" w:cs="Times New Roman"/>
              </w:rPr>
            </w:pPr>
            <w:r w:rsidRPr="000210AC">
              <w:rPr>
                <w:rFonts w:ascii="Times New Roman" w:hAnsi="Times New Roman" w:cs="Times New Roman"/>
              </w:rPr>
              <w:t xml:space="preserve">40 CFR 63.640-63.679 (Subpart CC) </w:t>
            </w:r>
          </w:p>
          <w:p w:rsidR="00805266" w:rsidRPr="000210AC" w:rsidRDefault="00805266" w:rsidP="00805266">
            <w:pPr>
              <w:pStyle w:val="HTMLPreformatted"/>
              <w:rPr>
                <w:rFonts w:ascii="Times New Roman" w:hAnsi="Times New Roman" w:cs="Times New Roman"/>
              </w:rPr>
            </w:pPr>
          </w:p>
        </w:tc>
        <w:tc>
          <w:tcPr>
            <w:tcW w:w="0" w:type="auto"/>
            <w:shd w:val="clear" w:color="auto" w:fill="auto"/>
          </w:tcPr>
          <w:p w:rsidR="00C117EE" w:rsidRDefault="00C117EE" w:rsidP="00C117EE">
            <w:pPr>
              <w:autoSpaceDE w:val="0"/>
              <w:autoSpaceDN w:val="0"/>
              <w:adjustRightInd w:val="0"/>
              <w:rPr>
                <w:sz w:val="20"/>
                <w:szCs w:val="20"/>
              </w:rPr>
            </w:pPr>
            <w:r w:rsidRPr="00C117EE">
              <w:rPr>
                <w:sz w:val="20"/>
                <w:szCs w:val="20"/>
              </w:rPr>
              <w:t>Subpart CC—National Emission Standards for Hazardous Air Pollutants from Petroleum Refineries ■ 2. Section 63.640 is amended by revising paragraph (p)(2) to read as follows:</w:t>
            </w:r>
          </w:p>
          <w:p w:rsidR="00C117EE" w:rsidRDefault="00C117EE" w:rsidP="00C117EE">
            <w:pPr>
              <w:autoSpaceDE w:val="0"/>
              <w:autoSpaceDN w:val="0"/>
              <w:adjustRightInd w:val="0"/>
              <w:rPr>
                <w:sz w:val="20"/>
                <w:szCs w:val="20"/>
              </w:rPr>
            </w:pPr>
            <w:r w:rsidRPr="00C117EE">
              <w:rPr>
                <w:sz w:val="20"/>
                <w:szCs w:val="20"/>
              </w:rPr>
              <w:t xml:space="preserve"> § 63.640 Applicability and designation of affected source. * * * * * (p) * * * (2) Equipment leaks that are also subject to the provisions of 40 CFR part 60, subpart GGGa, are required to comply only with the provisions specified in 40 CFR part 60, subpart GGGa, except that pressure relief devices in organic HAP service must only comply with the requirements in § 63.648(j). * * * * * </w:t>
            </w:r>
          </w:p>
          <w:p w:rsidR="00C117EE" w:rsidRDefault="00C117EE" w:rsidP="00C117EE">
            <w:pPr>
              <w:autoSpaceDE w:val="0"/>
              <w:autoSpaceDN w:val="0"/>
              <w:adjustRightInd w:val="0"/>
              <w:rPr>
                <w:sz w:val="20"/>
                <w:szCs w:val="20"/>
              </w:rPr>
            </w:pPr>
          </w:p>
          <w:p w:rsidR="00C117EE" w:rsidRDefault="00C117EE" w:rsidP="00C117EE">
            <w:pPr>
              <w:autoSpaceDE w:val="0"/>
              <w:autoSpaceDN w:val="0"/>
              <w:adjustRightInd w:val="0"/>
              <w:rPr>
                <w:sz w:val="20"/>
                <w:szCs w:val="20"/>
              </w:rPr>
            </w:pPr>
            <w:r w:rsidRPr="00C117EE">
              <w:rPr>
                <w:sz w:val="20"/>
                <w:szCs w:val="20"/>
              </w:rPr>
              <w:t>■ 3. Section 63.641 is amended by revising the definition of ‘‘Reference control technology for storage vessels’’ to read as follows:</w:t>
            </w:r>
          </w:p>
          <w:p w:rsidR="00C117EE" w:rsidRDefault="00C117EE" w:rsidP="00C117EE">
            <w:pPr>
              <w:autoSpaceDE w:val="0"/>
              <w:autoSpaceDN w:val="0"/>
              <w:adjustRightInd w:val="0"/>
              <w:rPr>
                <w:sz w:val="20"/>
                <w:szCs w:val="20"/>
              </w:rPr>
            </w:pPr>
            <w:r w:rsidRPr="00C117EE">
              <w:rPr>
                <w:sz w:val="20"/>
                <w:szCs w:val="20"/>
              </w:rPr>
              <w:t xml:space="preserve"> § 63.641 Definitions. * * * * * Reference control technology for storage vessels means either: (1) For Group 1 storage vessels complying with § 63.660: (i) An internal floating roof, including an external floating roof converted to an internal floating roof, meeting the specifications of §§ 63.1063(a)(1)(i), (a)(2), and (b) and 63.660(b)(2); (ii) An external floating roof meeting the specifications of §§ 63.1063(a)(1)(ii), (a)(2), and (b) and 63.660(b)(2); or (iii) [Reserved] (iv) A closed-vent system to a control device that reduces organic HAP emissions by 95 percent, or to an outlet concentration of 20 parts per million by volume (ppmv). (v) For purposes of emissions averaging, these four technologies are considered equivalent. (2) For all other storage vessels: (i) An internal floating roof meeting the specifications of § 63.119(b) of subpart G except for § 63.119(b)(5) and (6); (ii) An external floating roof meeting the specifications of § 63.119(c) of subpart G except for § 63.119(c)(2); (iii) An external floating roof converted to an internal floating roof meeting the specifications of § 63.119(d) of subpart G except for § 63.119(d)(2); or (iv) A closed-vent system to a control device that reduces organic HAP emissions by 95 percent, or to an outlet concentration of 20 parts per million by volume. (v) For purposes of emissions averaging, these four technologies are considered equivalent. * * * * *</w:t>
            </w:r>
          </w:p>
          <w:p w:rsidR="00C117EE" w:rsidRDefault="00C117EE" w:rsidP="00C117EE">
            <w:pPr>
              <w:autoSpaceDE w:val="0"/>
              <w:autoSpaceDN w:val="0"/>
              <w:adjustRightInd w:val="0"/>
              <w:rPr>
                <w:sz w:val="20"/>
                <w:szCs w:val="20"/>
              </w:rPr>
            </w:pPr>
          </w:p>
          <w:p w:rsidR="00C117EE" w:rsidRDefault="00C117EE" w:rsidP="00C117EE">
            <w:pPr>
              <w:autoSpaceDE w:val="0"/>
              <w:autoSpaceDN w:val="0"/>
              <w:adjustRightInd w:val="0"/>
              <w:rPr>
                <w:sz w:val="20"/>
                <w:szCs w:val="20"/>
              </w:rPr>
            </w:pPr>
            <w:r w:rsidRPr="00C117EE">
              <w:rPr>
                <w:sz w:val="20"/>
                <w:szCs w:val="20"/>
              </w:rPr>
              <w:t xml:space="preserve"> ■ 4. Section 63.643 is amended by revising paragraph (c)(1)(v) to read as follows: </w:t>
            </w:r>
          </w:p>
          <w:p w:rsidR="00C117EE" w:rsidRDefault="00C117EE" w:rsidP="00C117EE">
            <w:pPr>
              <w:autoSpaceDE w:val="0"/>
              <w:autoSpaceDN w:val="0"/>
              <w:adjustRightInd w:val="0"/>
              <w:rPr>
                <w:sz w:val="20"/>
                <w:szCs w:val="20"/>
              </w:rPr>
            </w:pPr>
            <w:r w:rsidRPr="00C117EE">
              <w:rPr>
                <w:sz w:val="20"/>
                <w:szCs w:val="20"/>
              </w:rPr>
              <w:t>§ 63.643 Miscellaneous process vent provisions. * * * * * (c) * * * (1) * * * (v) If, after applying best practices to isolate and purge equipment served by a maintenance vent, none of the applicable criterion in paragraphs (c)(1)(i) through (iv) of this section can be met prior to installing or removing a blind flange or similar equipment blind, the pressure in the equipment served by the maintenance vent is reduced to 2 psig or less. Active purging of the equipment may be used provided the equipment pressure at the location where purge gas is introduced remains at 2 psig or less. * * * * *</w:t>
            </w:r>
          </w:p>
          <w:p w:rsidR="00C117EE" w:rsidRDefault="00C117EE" w:rsidP="00C117EE">
            <w:pPr>
              <w:autoSpaceDE w:val="0"/>
              <w:autoSpaceDN w:val="0"/>
              <w:adjustRightInd w:val="0"/>
              <w:rPr>
                <w:sz w:val="20"/>
                <w:szCs w:val="20"/>
              </w:rPr>
            </w:pPr>
          </w:p>
          <w:p w:rsidR="00C117EE" w:rsidRDefault="00C117EE" w:rsidP="00C117EE">
            <w:pPr>
              <w:autoSpaceDE w:val="0"/>
              <w:autoSpaceDN w:val="0"/>
              <w:adjustRightInd w:val="0"/>
              <w:rPr>
                <w:sz w:val="20"/>
                <w:szCs w:val="20"/>
              </w:rPr>
            </w:pPr>
            <w:r w:rsidRPr="00C117EE">
              <w:rPr>
                <w:sz w:val="20"/>
                <w:szCs w:val="20"/>
              </w:rPr>
              <w:t xml:space="preserve"> ■ 5. Section 63.648 is amended by revising paragraphs (j) introductory text and (j)(2)(i) through (iii) to read as follows: </w:t>
            </w:r>
          </w:p>
          <w:p w:rsidR="00C117EE" w:rsidRDefault="00C117EE" w:rsidP="00C117EE">
            <w:pPr>
              <w:autoSpaceDE w:val="0"/>
              <w:autoSpaceDN w:val="0"/>
              <w:adjustRightInd w:val="0"/>
              <w:rPr>
                <w:sz w:val="20"/>
                <w:szCs w:val="20"/>
              </w:rPr>
            </w:pPr>
            <w:r w:rsidRPr="00C117EE">
              <w:rPr>
                <w:sz w:val="20"/>
                <w:szCs w:val="20"/>
              </w:rPr>
              <w:t xml:space="preserve">§ 63.648 Equipment leak standards. * * * * * (j) Except as specified in paragraph (j)(4) of this section, the owner or operator must comply </w:t>
            </w:r>
            <w:r w:rsidRPr="00C117EE">
              <w:rPr>
                <w:sz w:val="20"/>
                <w:szCs w:val="20"/>
              </w:rPr>
              <w:lastRenderedPageBreak/>
              <w:t xml:space="preserve">with the requirements specified in paragraphs (j)(1) and (2) of this section for pressure relief devices, such as relief valves or rupture disks, in organic HAP gas or vapor service instead of the pressure relief device requirements of § 60.482–4 of this chapter, § 60.482–4a of this chapter, or § 63.165, as applicable. Except as specified in paragraphs (j)(4) and (5) of this section, the owner or operator must also comply with the requirements specified in paragraph (j)(3) of this section for all pressure relief devices in organic HAP service. * * * * * (2) * * * (i) If the pressure relief device does not consist of or include a rupture disk, conduct instrument monitoring, as specified in § 60.485(c) of this chapter, § 60.485a(c) of this chapter, or § 63.180(c), as applicable, no later than 5 calendar days after the pressure relief device returns to organic HAP gas or vapor service following a pressure release to verify that the pressure relief device is operating with an instrument reading of less than 500 ppm. (ii) If the pressure relief device includes a rupture disk, either comply with the requirements in paragraph (j)(2)(i) of this section (not replacing the rupture disk) or install a replacement disk as soon as practicable after a pressure release, but no later than 5 calendar days after the pressure release. The owner or operator must conduct instrument monitoring, as specified in § 60.485(c) of this chapter, § 60.485a(c) of this chapter or § 63.180(c), as applicable, no later than 5 calendar days after the pressure relief device returns to organic HAP gas or vapor service following a pressure release to verify that the pressure relief device is operating with an instrument reading of less than 500 ppm. (iii) If the pressure relief device consists only of a rupture disk, install a replacement disk as soon as practicable VerDate Sep2014 18:16 Feb 03, 2020 Jkt 250001 PO 00000 Frm 00060 Fmt 4700 Sfmt 4700 E:\FR\FM\04FER1.SGM 04FER1 khammond on DSKJM1Z7X2PROD with RULES Federal Register / Vol. 85, No. 23 / Tuesday, February 4, 2020 / Rules and Regulations 6083 after a pressure release, but no later than 5 calendar days after the pressure release. The owner or operator may not initiate startup of the equipment served by the rupture disk until the rupture disc is replaced. The owner or operator must conduct instrument monitoring, as specified in § 60.485(c) of this chapter, § 60.485a(c) of this chapter, or § 63.180(c), as applicable, no later than 5 calendar days after the pressure relief device returns to organic HAP gas or vapor service following a pressure release to verify that the pressure relief device is operating with an instrument reading of less than 500 ppm. * * * * * </w:t>
            </w:r>
          </w:p>
          <w:p w:rsidR="00C117EE" w:rsidRDefault="00C117EE" w:rsidP="00C117EE">
            <w:pPr>
              <w:autoSpaceDE w:val="0"/>
              <w:autoSpaceDN w:val="0"/>
              <w:adjustRightInd w:val="0"/>
              <w:rPr>
                <w:sz w:val="20"/>
                <w:szCs w:val="20"/>
              </w:rPr>
            </w:pPr>
          </w:p>
          <w:p w:rsidR="00C117EE" w:rsidRDefault="00C117EE" w:rsidP="00C117EE">
            <w:pPr>
              <w:autoSpaceDE w:val="0"/>
              <w:autoSpaceDN w:val="0"/>
              <w:adjustRightInd w:val="0"/>
              <w:rPr>
                <w:sz w:val="20"/>
                <w:szCs w:val="20"/>
              </w:rPr>
            </w:pPr>
            <w:r w:rsidRPr="00C117EE">
              <w:rPr>
                <w:sz w:val="20"/>
                <w:szCs w:val="20"/>
              </w:rPr>
              <w:t xml:space="preserve">■ 6. Section 63.655 is amended by revising paragraphs (f)(1)(iii), (f)(2), adding a paragraph (h)(10) subject heading, and revising paragraph (i)(11) introductory text to read as follows: </w:t>
            </w:r>
          </w:p>
          <w:p w:rsidR="00C117EE" w:rsidRDefault="00C117EE" w:rsidP="00C117EE">
            <w:pPr>
              <w:autoSpaceDE w:val="0"/>
              <w:autoSpaceDN w:val="0"/>
              <w:adjustRightInd w:val="0"/>
              <w:rPr>
                <w:sz w:val="20"/>
                <w:szCs w:val="20"/>
              </w:rPr>
            </w:pPr>
            <w:r w:rsidRPr="00C117EE">
              <w:rPr>
                <w:sz w:val="20"/>
                <w:szCs w:val="20"/>
              </w:rPr>
              <w:t xml:space="preserve">§ 63.655 Reporting and recordkeeping requirements. * * * * * (f) * * * (1) * * * (iii) For miscellaneous process vents controlled by control devices required to be tested under §§ 63.645 and 63.116(c), performance test results including the information in paragraphs (f)(1)(iii)(A) and (B) of this section. Results of a performance test conducted prior to the compliance date of this subpart can be used provided that the test was conducted using the methods specified in § 63.645 and that the test conditions are representative of current operating conditions. If the performance test is submitted electronically through the EPA’s Compliance and Emissions Data Reporting Interface (CEDRI) in accordance with § 63.655(h)(9), the process unit(s) tested, the pollutant(s) tested, and the date that such performance test was conducted may be submitted in the Notification of Compliance Status in lieu of the performance test results. The performance test results must be submitted to CEDRI by the date the Notification of Compliance Status is submitted. (A) The percentage of reduction of organic HAP’s or TOC, or the outlet concentration of organic HAP’s or TOC (parts per million by volume on a dry basis corrected to 3 percent oxygen), determined as specified in § 63.116(c) of subpart G of this part; and (B) The value of the monitored parameters specified in table 10 of this subpart, or a site-specific parameter approved by the permitting authority, averaged over the full period of the performance test. * * * * * (2) If initial performance tests are required by §§ 63.643 through 63.653, the Notification of Compliance Status report shall include one </w:t>
            </w:r>
            <w:r w:rsidRPr="00C117EE">
              <w:rPr>
                <w:sz w:val="20"/>
                <w:szCs w:val="20"/>
              </w:rPr>
              <w:lastRenderedPageBreak/>
              <w:t xml:space="preserve">complete test report for each test method used for a particular source. On and after February 1, 2016, for data collected using test methods supported by the EPA’s Electronic Reporting Tool (ERT) as listed on the EPA’s ERT website (https://www.epa.gov/electronicreporting-air-emissions/electronicreporting-tool-ert) at the time of the test, you must submit the results in accordance with § 63.655(h)(9) by the date that you submit the Notification of Compliance Status, and you must include the process unit(s) tested, the pollutant(s) tested, and the date that such performance test was conducted in the Notification of Compliance Status. All other performance test results must be reported in the Notification of Compliance Status. (i) For additional tests performed using the same method, the results specified in paragraph (f)(1) of this section shall be submitted, but a complete test report is not required. (ii) 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calibrations, raw data sheets for field sampling, raw data sheets for field and laboratory analyses, documentation of calculations, and any other information required by the test method. (iii) Performance tests are required only if specified by §§ 63.643 through 63.653 of this subpart. Initial performance tests are required for some kinds of emission points and controls. Periodic testing of the same emission point is not required. * * * * * (h) * * * (10) Extensions to electronic reporting deadlines. * * * * * (i) * * * (11) For each pressure relief device subject to the pressure release management work practice standards in § 63.648(j)(3), the owner or operator shall keep the records specified in paragraphs (i)(11)(i) through (iii) of this section. For each pilot-operated pressure relief device subject to the requirements at § 63.648(j)(4)(ii), the owner or operator shall keep the records specified in paragraph (i)(11)(iv) of this section. * * * * * </w:t>
            </w:r>
          </w:p>
          <w:p w:rsidR="00C117EE" w:rsidRDefault="00C117EE" w:rsidP="00C117EE">
            <w:pPr>
              <w:autoSpaceDE w:val="0"/>
              <w:autoSpaceDN w:val="0"/>
              <w:adjustRightInd w:val="0"/>
              <w:rPr>
                <w:sz w:val="20"/>
                <w:szCs w:val="20"/>
              </w:rPr>
            </w:pPr>
          </w:p>
          <w:p w:rsidR="00C117EE" w:rsidRDefault="00C117EE" w:rsidP="00C117EE">
            <w:pPr>
              <w:autoSpaceDE w:val="0"/>
              <w:autoSpaceDN w:val="0"/>
              <w:adjustRightInd w:val="0"/>
              <w:rPr>
                <w:sz w:val="20"/>
                <w:szCs w:val="20"/>
              </w:rPr>
            </w:pPr>
            <w:r w:rsidRPr="00C117EE">
              <w:rPr>
                <w:sz w:val="20"/>
                <w:szCs w:val="20"/>
              </w:rPr>
              <w:t>■ 7. Section 63.660 is amended by revising paragraph (i)(2)(iii) to read as follows:</w:t>
            </w:r>
          </w:p>
          <w:p w:rsidR="00C117EE" w:rsidRDefault="00C117EE" w:rsidP="00C117EE">
            <w:pPr>
              <w:autoSpaceDE w:val="0"/>
              <w:autoSpaceDN w:val="0"/>
              <w:adjustRightInd w:val="0"/>
              <w:rPr>
                <w:sz w:val="20"/>
                <w:szCs w:val="20"/>
              </w:rPr>
            </w:pPr>
            <w:r w:rsidRPr="00C117EE">
              <w:rPr>
                <w:sz w:val="20"/>
                <w:szCs w:val="20"/>
              </w:rPr>
              <w:t xml:space="preserve"> § 63.660 Storage vessel provisions. * * * * * (i) * * * (2) * * * (iii) Use a cap, blind flange, plug, or a second valve for an open-ended valve or line following the requirements specified in § 60.482–6(a)(2), (b), and (c). * * * * *</w:t>
            </w:r>
          </w:p>
          <w:p w:rsidR="00C117EE" w:rsidRDefault="00C117EE" w:rsidP="00C117EE">
            <w:pPr>
              <w:autoSpaceDE w:val="0"/>
              <w:autoSpaceDN w:val="0"/>
              <w:adjustRightInd w:val="0"/>
              <w:rPr>
                <w:sz w:val="20"/>
                <w:szCs w:val="20"/>
              </w:rPr>
            </w:pPr>
          </w:p>
          <w:p w:rsidR="00C117EE" w:rsidRDefault="00C117EE" w:rsidP="00C117EE">
            <w:pPr>
              <w:autoSpaceDE w:val="0"/>
              <w:autoSpaceDN w:val="0"/>
              <w:adjustRightInd w:val="0"/>
              <w:rPr>
                <w:sz w:val="20"/>
                <w:szCs w:val="20"/>
              </w:rPr>
            </w:pPr>
            <w:r w:rsidRPr="00C117EE">
              <w:rPr>
                <w:sz w:val="20"/>
                <w:szCs w:val="20"/>
              </w:rPr>
              <w:t xml:space="preserve"> ■ 8. Section 63.670 is amended by revising paragraph (d)(2) to read as follows:</w:t>
            </w:r>
          </w:p>
          <w:p w:rsidR="00EE6345" w:rsidRPr="00C117EE" w:rsidRDefault="00C117EE" w:rsidP="00C117EE">
            <w:pPr>
              <w:autoSpaceDE w:val="0"/>
              <w:autoSpaceDN w:val="0"/>
              <w:adjustRightInd w:val="0"/>
              <w:rPr>
                <w:sz w:val="20"/>
                <w:szCs w:val="20"/>
              </w:rPr>
            </w:pPr>
            <w:r w:rsidRPr="00C117EE">
              <w:rPr>
                <w:sz w:val="20"/>
                <w:szCs w:val="20"/>
              </w:rPr>
              <w:t xml:space="preserve"> § 63.670 Requirements for flare control devices. * * * * * (d) * * * (2) Vtip must be less than 400 feet per second and also less than the maximum allowed flare tip velocity (Vmax) as calculated according to the following equation. The owner or operator shall monitor Vtip using the procedures specified in paragraphs (i) and (k) of this section and monitor gas composition and determine NHVvg using the procedures specified in paragraphs (j) and (l) of this section. Where: Vmax = Maximum allowed flare tip velocity, ft/sec. NHVvg = Net heating value of flare vent gas, as determined by paragraph (k)(4) of this section, Btu/scf. 1,212 = Constant. 850 = Constant.</w:t>
            </w:r>
          </w:p>
        </w:tc>
      </w:tr>
      <w:tr w:rsidR="00BF3EAC" w:rsidRPr="00D360A7" w:rsidTr="00F34438">
        <w:trPr>
          <w:trHeight w:val="152"/>
        </w:trPr>
        <w:tc>
          <w:tcPr>
            <w:tcW w:w="0" w:type="auto"/>
            <w:shd w:val="clear" w:color="auto" w:fill="auto"/>
          </w:tcPr>
          <w:p w:rsidR="00805266" w:rsidRPr="00C117EE" w:rsidRDefault="00805266" w:rsidP="00805266">
            <w:pPr>
              <w:rPr>
                <w:sz w:val="20"/>
                <w:szCs w:val="20"/>
              </w:rPr>
            </w:pPr>
            <w:r w:rsidRPr="00C117EE">
              <w:rPr>
                <w:sz w:val="20"/>
                <w:szCs w:val="20"/>
              </w:rPr>
              <w:lastRenderedPageBreak/>
              <w:t>40 CFR 63.1175--63.1199 (Subpart DDD)</w:t>
            </w:r>
          </w:p>
        </w:tc>
        <w:tc>
          <w:tcPr>
            <w:tcW w:w="0" w:type="auto"/>
            <w:shd w:val="clear" w:color="auto" w:fill="auto"/>
          </w:tcPr>
          <w:p w:rsidR="00805266" w:rsidRPr="00C117EE" w:rsidRDefault="00805266" w:rsidP="00805266">
            <w:pPr>
              <w:autoSpaceDE w:val="0"/>
              <w:autoSpaceDN w:val="0"/>
              <w:adjustRightInd w:val="0"/>
              <w:rPr>
                <w:sz w:val="20"/>
                <w:szCs w:val="20"/>
              </w:rPr>
            </w:pPr>
            <w:r w:rsidRPr="00C117EE">
              <w:rPr>
                <w:sz w:val="20"/>
                <w:szCs w:val="20"/>
              </w:rPr>
              <w:t>No Changes</w:t>
            </w:r>
          </w:p>
        </w:tc>
      </w:tr>
      <w:tr w:rsidR="00BF3EAC" w:rsidRPr="00D360A7" w:rsidTr="00C117EE">
        <w:trPr>
          <w:trHeight w:val="512"/>
        </w:trPr>
        <w:tc>
          <w:tcPr>
            <w:tcW w:w="0" w:type="auto"/>
            <w:shd w:val="clear" w:color="auto" w:fill="auto"/>
          </w:tcPr>
          <w:p w:rsidR="00805266" w:rsidRPr="00C117EE" w:rsidRDefault="00805266" w:rsidP="00805266">
            <w:pPr>
              <w:rPr>
                <w:sz w:val="20"/>
                <w:szCs w:val="20"/>
              </w:rPr>
            </w:pPr>
            <w:r w:rsidRPr="00C117EE">
              <w:rPr>
                <w:sz w:val="20"/>
                <w:szCs w:val="20"/>
              </w:rPr>
              <w:t xml:space="preserve">63.7480--63.7575 (Subpart DDDDD) </w:t>
            </w:r>
          </w:p>
          <w:p w:rsidR="00805266" w:rsidRPr="00C117EE" w:rsidRDefault="00805266" w:rsidP="00805266">
            <w:pPr>
              <w:rPr>
                <w:sz w:val="20"/>
                <w:szCs w:val="20"/>
              </w:rPr>
            </w:pPr>
          </w:p>
        </w:tc>
        <w:tc>
          <w:tcPr>
            <w:tcW w:w="0" w:type="auto"/>
            <w:shd w:val="clear" w:color="auto" w:fill="auto"/>
          </w:tcPr>
          <w:p w:rsidR="00805266" w:rsidRPr="00C117EE" w:rsidRDefault="00805266" w:rsidP="00805266">
            <w:pPr>
              <w:autoSpaceDE w:val="0"/>
              <w:autoSpaceDN w:val="0"/>
              <w:adjustRightInd w:val="0"/>
              <w:rPr>
                <w:sz w:val="20"/>
                <w:szCs w:val="20"/>
              </w:rPr>
            </w:pPr>
            <w:r w:rsidRPr="00C117EE">
              <w:rPr>
                <w:sz w:val="20"/>
                <w:szCs w:val="20"/>
              </w:rPr>
              <w:t>No Changes</w:t>
            </w:r>
          </w:p>
        </w:tc>
      </w:tr>
      <w:tr w:rsidR="00BF3EAC" w:rsidRPr="00D360A7" w:rsidTr="00F34438">
        <w:trPr>
          <w:trHeight w:val="152"/>
        </w:trPr>
        <w:tc>
          <w:tcPr>
            <w:tcW w:w="0" w:type="auto"/>
            <w:shd w:val="clear" w:color="auto" w:fill="auto"/>
          </w:tcPr>
          <w:p w:rsidR="00805266" w:rsidRPr="00C117EE" w:rsidRDefault="00805266" w:rsidP="00805266">
            <w:pPr>
              <w:rPr>
                <w:sz w:val="20"/>
                <w:szCs w:val="20"/>
              </w:rPr>
            </w:pPr>
            <w:r w:rsidRPr="00C117EE">
              <w:rPr>
                <w:sz w:val="20"/>
                <w:szCs w:val="20"/>
              </w:rPr>
              <w:t xml:space="preserve">40 CFR 63.741-63.759 (Subpart </w:t>
            </w:r>
            <w:r w:rsidRPr="00C117EE">
              <w:rPr>
                <w:sz w:val="20"/>
                <w:szCs w:val="20"/>
              </w:rPr>
              <w:lastRenderedPageBreak/>
              <w:t xml:space="preserve">GG) </w:t>
            </w:r>
          </w:p>
          <w:p w:rsidR="00805266" w:rsidRPr="00D360A7" w:rsidRDefault="00805266" w:rsidP="00805266">
            <w:pPr>
              <w:pStyle w:val="HTMLPreformatted"/>
              <w:rPr>
                <w:rFonts w:ascii="Times New Roman" w:hAnsi="Times New Roman" w:cs="Times New Roman"/>
                <w:color w:val="FF0000"/>
                <w:highlight w:val="yellow"/>
              </w:rPr>
            </w:pPr>
          </w:p>
        </w:tc>
        <w:tc>
          <w:tcPr>
            <w:tcW w:w="0" w:type="auto"/>
            <w:shd w:val="clear" w:color="auto" w:fill="auto"/>
          </w:tcPr>
          <w:p w:rsidR="00805266" w:rsidRPr="00C117EE" w:rsidRDefault="000C7A60" w:rsidP="00805266">
            <w:pPr>
              <w:autoSpaceDE w:val="0"/>
              <w:autoSpaceDN w:val="0"/>
              <w:adjustRightInd w:val="0"/>
              <w:rPr>
                <w:sz w:val="20"/>
                <w:szCs w:val="20"/>
              </w:rPr>
            </w:pPr>
            <w:r w:rsidRPr="00C117EE">
              <w:rPr>
                <w:sz w:val="20"/>
                <w:szCs w:val="20"/>
              </w:rPr>
              <w:lastRenderedPageBreak/>
              <w:t>No Change</w:t>
            </w:r>
          </w:p>
        </w:tc>
      </w:tr>
      <w:tr w:rsidR="00BF3EAC" w:rsidRPr="00D360A7" w:rsidTr="00F34438">
        <w:trPr>
          <w:trHeight w:val="152"/>
        </w:trPr>
        <w:tc>
          <w:tcPr>
            <w:tcW w:w="0" w:type="auto"/>
            <w:shd w:val="clear" w:color="auto" w:fill="auto"/>
          </w:tcPr>
          <w:p w:rsidR="00805266" w:rsidRPr="00C117EE" w:rsidRDefault="00805266" w:rsidP="00805266">
            <w:pPr>
              <w:pStyle w:val="HTMLPreformatted"/>
              <w:rPr>
                <w:rFonts w:ascii="Times New Roman" w:hAnsi="Times New Roman" w:cs="Times New Roman"/>
              </w:rPr>
            </w:pPr>
            <w:r w:rsidRPr="00C117EE">
              <w:rPr>
                <w:rFonts w:ascii="Times New Roman" w:hAnsi="Times New Roman" w:cs="Times New Roman"/>
              </w:rPr>
              <w:t>63.8380--63.8515 (Subpart JJJJJ)</w:t>
            </w:r>
          </w:p>
          <w:p w:rsidR="00805266" w:rsidRPr="00C117EE" w:rsidRDefault="00805266" w:rsidP="00805266">
            <w:pPr>
              <w:rPr>
                <w:sz w:val="20"/>
                <w:szCs w:val="20"/>
                <w:highlight w:val="yellow"/>
              </w:rPr>
            </w:pPr>
          </w:p>
        </w:tc>
        <w:tc>
          <w:tcPr>
            <w:tcW w:w="0" w:type="auto"/>
            <w:shd w:val="clear" w:color="auto" w:fill="auto"/>
          </w:tcPr>
          <w:p w:rsidR="00805266" w:rsidRPr="00C117EE" w:rsidRDefault="00805266" w:rsidP="00805266">
            <w:pPr>
              <w:autoSpaceDE w:val="0"/>
              <w:autoSpaceDN w:val="0"/>
              <w:adjustRightInd w:val="0"/>
              <w:rPr>
                <w:sz w:val="20"/>
                <w:szCs w:val="20"/>
              </w:rPr>
            </w:pPr>
            <w:r w:rsidRPr="00C117EE">
              <w:rPr>
                <w:sz w:val="20"/>
                <w:szCs w:val="20"/>
              </w:rPr>
              <w:t>No Changes</w:t>
            </w:r>
          </w:p>
        </w:tc>
      </w:tr>
      <w:tr w:rsidR="00BF3EAC" w:rsidRPr="00D360A7" w:rsidTr="00F34438">
        <w:trPr>
          <w:trHeight w:val="152"/>
        </w:trPr>
        <w:tc>
          <w:tcPr>
            <w:tcW w:w="0" w:type="auto"/>
            <w:shd w:val="clear" w:color="auto" w:fill="auto"/>
          </w:tcPr>
          <w:p w:rsidR="00805266" w:rsidRPr="000210AC" w:rsidRDefault="00805266" w:rsidP="00805266">
            <w:pPr>
              <w:rPr>
                <w:sz w:val="20"/>
                <w:szCs w:val="20"/>
                <w:highlight w:val="yellow"/>
              </w:rPr>
            </w:pPr>
            <w:r w:rsidRPr="000210AC">
              <w:rPr>
                <w:sz w:val="20"/>
                <w:szCs w:val="20"/>
              </w:rPr>
              <w:t>63.8530--63.8665 (Subpart KKKKK)</w:t>
            </w:r>
          </w:p>
        </w:tc>
        <w:tc>
          <w:tcPr>
            <w:tcW w:w="0" w:type="auto"/>
            <w:shd w:val="clear" w:color="auto" w:fill="auto"/>
          </w:tcPr>
          <w:p w:rsidR="000210AC" w:rsidRDefault="009B0C1D" w:rsidP="00805266">
            <w:pPr>
              <w:autoSpaceDE w:val="0"/>
              <w:autoSpaceDN w:val="0"/>
              <w:adjustRightInd w:val="0"/>
              <w:rPr>
                <w:sz w:val="20"/>
                <w:szCs w:val="20"/>
              </w:rPr>
            </w:pPr>
            <w:r w:rsidRPr="000210AC">
              <w:rPr>
                <w:sz w:val="20"/>
                <w:szCs w:val="20"/>
              </w:rPr>
              <w:t xml:space="preserve">Subpart KKKKK—National Emission Standards for Hazardous Air Pollutants for Clay Ceramics Manufacturing </w:t>
            </w:r>
          </w:p>
          <w:p w:rsidR="000210AC" w:rsidRDefault="000210AC" w:rsidP="00805266">
            <w:pPr>
              <w:autoSpaceDE w:val="0"/>
              <w:autoSpaceDN w:val="0"/>
              <w:adjustRightInd w:val="0"/>
              <w:rPr>
                <w:sz w:val="20"/>
                <w:szCs w:val="20"/>
              </w:rPr>
            </w:pPr>
          </w:p>
          <w:p w:rsidR="000210AC" w:rsidRDefault="009B0C1D" w:rsidP="00805266">
            <w:pPr>
              <w:autoSpaceDE w:val="0"/>
              <w:autoSpaceDN w:val="0"/>
              <w:adjustRightInd w:val="0"/>
              <w:rPr>
                <w:sz w:val="20"/>
                <w:szCs w:val="20"/>
              </w:rPr>
            </w:pPr>
            <w:r w:rsidRPr="000210AC">
              <w:rPr>
                <w:sz w:val="20"/>
                <w:szCs w:val="20"/>
              </w:rPr>
              <w:t xml:space="preserve">■ 2. Section 63.8595 is amended by: ■ a. Revising paragraph (c); ■ b. Redesignating paragraph (h) as paragraph (i); ■ c. Adding a new paragraph (h); and ■ d. Revising newly redesignated paragraphs (i) introductory text and (i)(1) introductory text. The revisions and addition read as follows: § 63.8595 How do I conduct performance tests and establish operating limits? * * * * * (c) Each performance test must be conducted according to the requirements in § 63.7 and under the specific conditions in Table 4 to this subpart. Stacks to be tested at sanitaryware manufacturing facilities shall be limited to products of combustion (POC) stacks and not include cooling stacks. * * * * * (h)(1) As an alternative to meeting the requirements of § 63.8555 for PM or mercury, if you have more than one existing source in any subcategories located at your facility, you may demonstrate compliance by emissions averaging, if your averaged emissions are no higher than the applicable emission limit, according to the procedures in this section. You may not include new or reconstructed sources in an emissions average. (2) For a group of two or more existing sources in the same subcategory that each vent to a separate stack, you may average PM or mercury emissions among existing units to demonstrate compliance with the limits in Table 1 to this subpart as specified in paragraph (h)(2)(i) through (iv) of this section, if you satisfy the requirements in paragraphs (h)(3) and (4) of this section. (i) You may average across existing sources in the same kiln type and size category (e.g., roller or tunnel kilns, large or small kilns) and the same subcategory (e.g., sanitaryware manual or spray machine or robot glaze application) where applicable; (ii) You may not include a unit in the emissions average if the unit shares a common stack with units in other subcategories; (iii) You may not include spray dryers or press dryers in the emissions average; and (iv) You may not average between different types of pollutants. (3) The averaged emissions rate from the existing sources participating in the emissions averaging option must not exceed the limits in Table 1 to this subpart at all times the affected units are subject to numeric emission limits following the compliance date specified in § 63.8545. (4)(i) You must demonstrate initial compliance using the maximum process rate and the results of the initial performance tests. (ii) You must use Equation 9 of this section to demonstrate that the PM or mercury emissions from all existing units participating in the emissions averaging option for that pollutant do not exceed the emission limits in Table 1 to this subpart. Where: ERi = Average weighted emissions for PM or mercury, in units of kilograms (pounds) per megagram (ton) of fired product for existing floor tile roller kilns and wall tile roller kilns, greenware fired for existing first-fired sanitaryware tunnel kilns, and first-fire glaze sprayed (dry weight basis) for existing tile glaze lines with glaze spraying and average weighted emissions for PM, in units of kilograms (pounds) per megagram (ton) VerDate Sep2014 16:01 Oct 31, 2019 Jkt 250001 PO 00000 Frm 00008 Fmt 4700 Sfmt 4700 E:\FR\FM\01NOR1.SGM 01NOR1 ER01NO19.003 Federal Register / Vol. 84, No. 212 / Friday, November 1, 2019 / Rules and Regulations 58607 of first-fire glaze sprayed (dry weight basis) for existing sanitaryware manual, spray machine, or robot glaze applications. Ei = Emission rate (as determined during the initial compliance demonstration) of PM or mercury from unit i, in units of kilograms (pounds) per megagram (ton). Determine the emission rate for PM or mercury by performance testing according to Table 4 to this subpart using the applicable equation in paragraph (f) of this section. Pmax i = </w:t>
            </w:r>
            <w:r w:rsidRPr="000210AC">
              <w:rPr>
                <w:sz w:val="20"/>
                <w:szCs w:val="20"/>
              </w:rPr>
              <w:lastRenderedPageBreak/>
              <w:t>Maximum process rate for unit i, in units of megagrams per hour (tons per hour). n = Number of units participating in the emissions averaging option. (5) You must develop and submit upon request to the applicable Administrator for review and approval, an implementation plan for emissions averaging according to the following procedures and requirements in paragraphs (h)(5)(i) through (iv) of this section. (i) If requested, you must submit the implementation plan no later than 180 days before the date that the facility intends to demonstrate compliance using the emissions averaging option. (ii) You must include the information contained in paragraphs (h)(5)(ii)(A) through (D) of this section in your implementation plan for all emission sources included in an emissions average: (A) The identification of all existing sources in the averaging group, including for each either the applicable HAP emissions level or the control technology installed and the date on which you are requesting emissions averaging to commence; (B) The specific control technology or pollution prevention measure to be used for each source in the averaging group and the date of its installation or application. If the pollution prevention measure reduces or eliminates emissions from multiple sources, the owner or operator must identify each source; (C) The test plan for the measurement of emissions in accordance with the requirements in this section; and (D) The operating parameters to be monitored for each control system or device consistent with § 63.8555 and Table 2 to this subpart, and a description of how the operating limits will be determined. (iii) If submitted upon request, the Administrator shall review and approve or disapprove the plan according to the following criteria: (A) Whether the content of the plan includes all of the information specified in paragraph (h)(5)(ii) of this section; and (B) Whether the plan presents sufficient information to determine that compliance will be achieved and maintained. (iv) The applicable Administrator shall not approve an emissions averaging implementation plan containing any of the following provisions: (A) Any averaging between emissions of differing pollutants or between differing sources; or (B) The inclusion of any emission source other than an existing unit in the same subcategories. (i) For each affected source that is subject to the emission limits specified in Table 1 to this subpart and is equipped with an APCD that is not addressed in Table 2 to this subpart or that is using process changes as a means of meeting the emission limits in Table 1 to this subpart, you must meet the requirements in § 63.8(f) and paragraphs (i)(1) and (2) of this section. (1) Submit a request for approval of alternative monitoring procedures to the Administrator no later than the notification of intent to conduct a performance test. The request must contain the information specified in paragraphs (i)(1)(i) through (iv) of this section. * * * * *</w:t>
            </w:r>
          </w:p>
          <w:p w:rsidR="000210AC" w:rsidRDefault="000210AC" w:rsidP="00805266">
            <w:pPr>
              <w:autoSpaceDE w:val="0"/>
              <w:autoSpaceDN w:val="0"/>
              <w:adjustRightInd w:val="0"/>
              <w:rPr>
                <w:sz w:val="20"/>
                <w:szCs w:val="20"/>
              </w:rPr>
            </w:pPr>
          </w:p>
          <w:p w:rsidR="000210AC" w:rsidRDefault="009B0C1D" w:rsidP="00805266">
            <w:pPr>
              <w:autoSpaceDE w:val="0"/>
              <w:autoSpaceDN w:val="0"/>
              <w:adjustRightInd w:val="0"/>
              <w:rPr>
                <w:sz w:val="20"/>
                <w:szCs w:val="20"/>
              </w:rPr>
            </w:pPr>
            <w:r w:rsidRPr="000210AC">
              <w:rPr>
                <w:sz w:val="20"/>
                <w:szCs w:val="20"/>
              </w:rPr>
              <w:t xml:space="preserve"> ■ 3. Section 63.8620 is amended by: ■ a. Redesignating paragraphs (e) introductory text and (e)(1) through (3) as paragraphs (e)(1) introductory text and (e)(1)(i) through (iii), respectively; ■ b. Revising newly redesignated paragraph (e)(1) introductory text; and ■ c. Adding new paragraph (e)(2) and paragraphs (f) and (g). The revision and additions read as follows: § 63.8620 How do I demonstrate continuous compliance with the emission limitations and work practice standards? * * * * * (e)(1) Visible emissions testing. You must demonstrate continuous compliance with the operating limits in Table 2 to this subpart for visible emissions (VE) from tunnel or roller kilns that are uncontrolled or equipped with DIFF, DLS/FF, or other dry control device by monitoring VE at each kiln stack according to the requirements in paragraphs (e)(1)(i) through (iii) of this section. * * * * * (2) Alternative to VE testing. You must demonstrate continuous compliance with the operating limits in Table 2 to this subpart for kiln temperature profile for tunnel or roller kilns that are uncontrolled or equipped with DIFF, DLS/FF, or other dry control device by maintaining the kiln operating temperature within the range of acceptable temperatures (i.e., temperature profile) established for each kiln and product. For any incidence where the kiln is operating outside of its acceptable temperature range (i.e., exceeds its temperature profile) for the product being fired, you must record the incident </w:t>
            </w:r>
            <w:r w:rsidRPr="000210AC">
              <w:rPr>
                <w:sz w:val="20"/>
                <w:szCs w:val="20"/>
              </w:rPr>
              <w:lastRenderedPageBreak/>
              <w:t xml:space="preserve">as a deviation, and perform the necessary corrective action in accordance with your OM&amp;M plan to return the kiln to the acceptable operating temperature for the product being fired. To confirm the kiln has returned to the acceptable temperature range, you will monitor VE at the kiln stack according to the requirements in paragraphs (e)(2)(i) through (iii) of this section. (i) Perform VE observations at the stack of each kiln operating outside of its temperature profile according to the procedures of Method 22 of 40 CFR part 60, appendix A–7. The duration of each Method 22 test must be at least 15 minutes. (ii) If VE are observed during any test conducted using Method 22 of 40 CFR part 60, appendix A–7, you must continue to perform corrective action until VE are no longer observed. (iii) If VE are observed during any test conducted using Method 22 of 40 CFR part 60, appendix A–7, you must report these deviations by following the requirements in § 63.8635. (f) Following the compliance date, you must demonstrate compliance with the emissions averaging provision under this subpart on a continuous basis by meeting the requirements of paragraphs (f)(1) through (3) of this section. (1)(i) After the initial compliance demonstration described in § 63.8595(h)(4), you must demonstrate compliance on a monthly basis determined at the end of every month (12 times per year) according to paragraph (f)(1)(ii) of this section. The first monthly period begins on the compliance date specified in § 63.8545. (ii) For each calendar month, you must use Equation 10 of this section to calculate the average weighted emission rate for that month. VerDate Sep2014 16:01 Oct 31, 2019 Jkt 250001 PO 00000 Frm 00009 Fmt 4700 Sfmt 4700 E:\FR\FM\01NOR1.SGM 01NOR1 58608 Federal Register / Vol. 84, No. 212 / Friday, November 1, 2019 / Rules and Regulations Where: ERi = Average weighted emissions for PM or mercury, in units of kilograms (pounds) per megagram (ton) of fired product for existing floor tile roller kilns and wall tile roller kilns, greenware fired for existing first-fired sanitaryware tunnel kilns, and first-fire glaze sprayed (dry weight basis) for existing tile glaze lines with glaze spraying and average weighted emissions for PM, in units of kilograms (pounds) per megagram (ton) of first-fire glaze sprayed (dry weight basis) for existing sanitaryware manual, spray machine, or robot glaze applications, for that calendar month. Ei = Emission rate (as determined during the most recent compliance demonstration) of PM or mercury from unit i, in units of kilograms (pounds) per megagram (ton). Determine the emission rate for PM or mercury by performance testing according to Table 4 to this subpart using the applicable equation in § 63.8595(f). Pmonth i = The process rate for that calendar month for unit i, in units of megagrams (tons). n = Number of units participating in the emissions averaging option. (2) Until 12 monthly weighted average emission rates have been accumulated, calculate and report only the average weighted emission rate determined under paragraph (f)(1)(ii) of this section for each calendar month. After 12 monthly weighted average emission rates have been accumulated, for each subsequent calendar month, use Equation 11 of this section to calculate the 12-month rolling average of the monthly weighted average emission rates for the current calendar month and the previous 11 calendar months. Where: Eavg = 12-month rolling average emission rate for PM or mercury, in units of kilograms (pounds) per megagram (ton) of fired product for existing floor tile roller kilns and wall tile roller kilns, greenware fired for existing first-fired sanitaryware tunnel kilns, and first-fire glaze sprayed (dry weight basis) for existing tile glaze lines with glaze spraying and average weighted emissions for PM, in units of kilograms (pounds) per megagram (ton) of first-fire glaze sprayed (dry weight basis) for existing sanitaryware manual, spray machine, or robot glaze applications. ERi = Monthly weighted average, for calendar month ‘‘i,’’ in units of kilograms (pounds) per megagram (ton), as calculated by paragraph (f)(1)(ii) of this section. (3) For each existing unit participating in the emissions averaging option, you must comply with the continuous compliance requirements in Table 7 to this subpart. (g) Any instance where you fail to comply with the continuous monitoring requirements in paragraphs (f)(1) through (3) of this section is a deviation. </w:t>
            </w:r>
          </w:p>
          <w:p w:rsidR="000210AC" w:rsidRDefault="000210AC" w:rsidP="00805266">
            <w:pPr>
              <w:autoSpaceDE w:val="0"/>
              <w:autoSpaceDN w:val="0"/>
              <w:adjustRightInd w:val="0"/>
              <w:rPr>
                <w:sz w:val="20"/>
                <w:szCs w:val="20"/>
              </w:rPr>
            </w:pPr>
          </w:p>
          <w:p w:rsidR="000210AC" w:rsidRDefault="009B0C1D" w:rsidP="00805266">
            <w:pPr>
              <w:autoSpaceDE w:val="0"/>
              <w:autoSpaceDN w:val="0"/>
              <w:adjustRightInd w:val="0"/>
              <w:rPr>
                <w:sz w:val="20"/>
                <w:szCs w:val="20"/>
              </w:rPr>
            </w:pPr>
            <w:r w:rsidRPr="000210AC">
              <w:rPr>
                <w:sz w:val="20"/>
                <w:szCs w:val="20"/>
              </w:rPr>
              <w:lastRenderedPageBreak/>
              <w:t xml:space="preserve">■ 4. Section 63.8630 is amended by revising paragraph (c) introductory text and adding paragraph (c)(4) to read as follows: § 63.8630 What notifications must I submit and when? * * * * * (c) If you are required to conduct a performance test or other initial compliance demonstration as specified in Tables 4 and 6 to this subpart, your Notification of Compliance Status as specified in Table 9 to this subpart must include the information in paragraphs (c)(1) through (4) of this section. * * * * * (4) Identification of whether you plan to demonstrate compliance by emissions averaging. If you plan to demonstrate compliance by emissions averaging, report the emissions level that was being achieved or the control technology employed on December 28, 2015. * * * * * </w:t>
            </w:r>
          </w:p>
          <w:p w:rsidR="000210AC" w:rsidRDefault="000210AC" w:rsidP="00805266">
            <w:pPr>
              <w:autoSpaceDE w:val="0"/>
              <w:autoSpaceDN w:val="0"/>
              <w:adjustRightInd w:val="0"/>
              <w:rPr>
                <w:sz w:val="20"/>
                <w:szCs w:val="20"/>
              </w:rPr>
            </w:pPr>
          </w:p>
          <w:p w:rsidR="000210AC" w:rsidRDefault="009B0C1D" w:rsidP="00805266">
            <w:pPr>
              <w:autoSpaceDE w:val="0"/>
              <w:autoSpaceDN w:val="0"/>
              <w:adjustRightInd w:val="0"/>
              <w:rPr>
                <w:sz w:val="20"/>
                <w:szCs w:val="20"/>
              </w:rPr>
            </w:pPr>
            <w:r w:rsidRPr="000210AC">
              <w:rPr>
                <w:sz w:val="20"/>
                <w:szCs w:val="20"/>
              </w:rPr>
              <w:t xml:space="preserve">■ 5. Section 63.8635 is amended by: ■ a. Revising paragraphs (c) introductory text and (c)(4)(iii)(C); ■ b. Adding paragraph (c)(9); and ■ c. Revising paragraph (g)(1). The revisions and addition read as follows: § 63.8635 What reports must I submit and when? * * * * * (c) The compliance report must contain the information in paragraphs (c)(1) through (9) of this section. * * * * * (4) * * * (iii) * * * (C) Based on the information recorded under paragraphs (c)(4)(iii)(A) and (B) of this section, compute the annual percent of affected source operating uptime during which the control device was offline for routine maintenance using Equation 12 of this section. Where: RM = Annual percentage of affected source uptime during which control device was offline for routine control device maintenance. DTp = Control device downtime claimed under the routine control device maintenance alternative standard for the previous semiannual compliance period. DTc = Control device downtime claimed under the routine control device maintenance alternative standard for the current semiannual compliance period. SUp = Affected source uptime for the previous semiannual compliance period. SUc = Affected source uptime for the current semiannual compliance period. * * * * * (9) If you plan to demonstrate compliance by emissions averaging, certify the emissions level achieved or the control technology employed is no less stringent than the level or control technology contained in the notification of compliance status in § 63.8630(c)(4), including all necessary documentation VerDate Sep2014 16:01 Oct 31, 2019 Jkt 250001 PO 00000 Frm 00010 Fmt 4700 Sfmt 4700 E:\FR\FM\01NOR1.SGM 01NOR1 ER01NO19.004 ER01NO19.005 ER01NO19.006 Federal Register / Vol. 84, No. 212 / Friday, November 1, 2019 / Rules and Regulations 58609 to support this certification, such as inputs to Equations 9 through 11 of this subpart. * * * * * (g) * * * (1) For data collected using test methods supported by the EPA’s Electronic Reporting Tool (ERT) as listed on the EPA’s ERT website (https://www.epa.gov/ electronicreporting-air-emissions/ electronicreporting-tool-ert) at the time of the test, you must submit the results of the performance test to the EPA via the Compliance and Emissions Data Reporting Interface (CEDRI). (CEDRI can be accessed through the EPA’s Central Data Exchange (CDX) (https:// cdx.epa.gov/).) Performance test data must be submitted in a file format generated through the use of the EPA’s ERT or an alternate electronic file format consistent with the extensible markup language (XML) schema listed on the EPA’s ERT website. If you claim that some of the performance test information being submitted is confidential business information (CBI), you must submit a complete file generated through the use of the EPA’s ERT or an alternate electronic file consistent with the XML schema listed on the EPA’s ERT website, including information claimed to be CBI, on a compact disc, flash drive, or other commonly used electronic storage media to the EPA. The electronic media must be clearly marked as CBI and mailed to U.S. EPA/OAPQS/CORE CBI Office, Attention: Group Leader, Measurement Policy Group, MD C404– 02, 4930 Old Page Rd., Durham, NC 27703. The same ERT or alternate file with the CBI omitted must be submitted to the EPA via the EPA’s CDX as described earlier in this paragraph (g)(1). * * * * * </w:t>
            </w:r>
          </w:p>
          <w:p w:rsidR="000210AC" w:rsidRDefault="000210AC" w:rsidP="00805266">
            <w:pPr>
              <w:autoSpaceDE w:val="0"/>
              <w:autoSpaceDN w:val="0"/>
              <w:adjustRightInd w:val="0"/>
              <w:rPr>
                <w:sz w:val="20"/>
                <w:szCs w:val="20"/>
              </w:rPr>
            </w:pPr>
          </w:p>
          <w:p w:rsidR="000210AC" w:rsidRDefault="009B0C1D" w:rsidP="00805266">
            <w:pPr>
              <w:autoSpaceDE w:val="0"/>
              <w:autoSpaceDN w:val="0"/>
              <w:adjustRightInd w:val="0"/>
              <w:rPr>
                <w:sz w:val="20"/>
                <w:szCs w:val="20"/>
              </w:rPr>
            </w:pPr>
            <w:r w:rsidRPr="000210AC">
              <w:rPr>
                <w:sz w:val="20"/>
                <w:szCs w:val="20"/>
              </w:rPr>
              <w:t xml:space="preserve">■ 6. Section 63.8640 is amended by revising paragraph (c) introductory text and adding paragraph (c)(11) to read as follows: § 63.8640 </w:t>
            </w:r>
            <w:r w:rsidRPr="000210AC">
              <w:rPr>
                <w:sz w:val="20"/>
                <w:szCs w:val="20"/>
              </w:rPr>
              <w:lastRenderedPageBreak/>
              <w:t xml:space="preserve">What records must I keep? * * * * * (c) You must also maintain the records listed in paragraphs (c)(1) through (11) of this section. * * * * * (11) If you elect to average emissions consistent with § 63.8595(h), you must additionally keep a copy of the emissions averaging implementation plan required in § 63.8595(h)(5), all calculations required under § 63.8595(h), including monthly records of process rate, as applicable, and monitoring records consistent with § 63.8620(f). </w:t>
            </w:r>
          </w:p>
          <w:p w:rsidR="000210AC" w:rsidRDefault="000210AC" w:rsidP="00805266">
            <w:pPr>
              <w:autoSpaceDE w:val="0"/>
              <w:autoSpaceDN w:val="0"/>
              <w:adjustRightInd w:val="0"/>
              <w:rPr>
                <w:sz w:val="20"/>
                <w:szCs w:val="20"/>
              </w:rPr>
            </w:pPr>
          </w:p>
          <w:p w:rsidR="000210AC" w:rsidRDefault="009B0C1D" w:rsidP="00805266">
            <w:pPr>
              <w:autoSpaceDE w:val="0"/>
              <w:autoSpaceDN w:val="0"/>
              <w:adjustRightInd w:val="0"/>
              <w:rPr>
                <w:sz w:val="20"/>
                <w:szCs w:val="20"/>
              </w:rPr>
            </w:pPr>
            <w:r w:rsidRPr="000210AC">
              <w:rPr>
                <w:sz w:val="20"/>
                <w:szCs w:val="20"/>
              </w:rPr>
              <w:t>■ 7. Section 63.8665 is amended by adding definitions for ‘‘Cooling stack,’’ ‘‘Emissions averaging sources,’’ and ‘‘Products of combustion (POC) stack’’ in alphabetical order to read as follows: § 63.8665 What definitions apply to this subpart? * * * * * Cooling stack means a stack (release point) installed on the cooling zone of a tunnel kiln to release air used to cool down the fired product from its maximum temperature to room temperature. A cooling stack does not release any air from the firing zone of the tunnel kiln. * * * * * Emissions averaging sources means, for purposes of the emissions averaging provisions of § 63.8595(h), the collection of all existing ceramic tile roller kilns, sanitaryware tunnel kilns, ceramic tile glaze lines using glaze spraying, and sanitaryware glaze spray booths, within a kiln type and size category and within a subcategory. * * * * * Products of combustion (POC) stack means a stack (release point) installed on the front end of the firing zone of a tunnel kiln to release air used to heat the greenware from room tem</w:t>
            </w:r>
            <w:r w:rsidR="000210AC" w:rsidRPr="000210AC">
              <w:rPr>
                <w:sz w:val="20"/>
                <w:szCs w:val="20"/>
              </w:rPr>
              <w:t>perature to its maximum temperature</w:t>
            </w:r>
          </w:p>
          <w:p w:rsidR="000210AC" w:rsidRDefault="000210AC" w:rsidP="00805266">
            <w:pPr>
              <w:autoSpaceDE w:val="0"/>
              <w:autoSpaceDN w:val="0"/>
              <w:adjustRightInd w:val="0"/>
              <w:rPr>
                <w:sz w:val="20"/>
                <w:szCs w:val="20"/>
              </w:rPr>
            </w:pPr>
          </w:p>
          <w:p w:rsidR="00805266" w:rsidRPr="000210AC" w:rsidRDefault="000210AC" w:rsidP="00805266">
            <w:pPr>
              <w:autoSpaceDE w:val="0"/>
              <w:autoSpaceDN w:val="0"/>
              <w:adjustRightInd w:val="0"/>
              <w:rPr>
                <w:b/>
                <w:color w:val="FF0000"/>
                <w:sz w:val="20"/>
                <w:szCs w:val="20"/>
              </w:rPr>
            </w:pPr>
            <w:r>
              <w:rPr>
                <w:sz w:val="20"/>
                <w:szCs w:val="20"/>
              </w:rPr>
              <w:t xml:space="preserve">TABLES CAN BE FOUND AT </w:t>
            </w:r>
            <w:r w:rsidRPr="000210AC">
              <w:rPr>
                <w:sz w:val="20"/>
                <w:szCs w:val="20"/>
              </w:rPr>
              <w:t>.</w:t>
            </w:r>
            <w:r>
              <w:rPr>
                <w:b/>
                <w:sz w:val="20"/>
                <w:szCs w:val="20"/>
              </w:rPr>
              <w:t>November 1, 2019 FR Vol 84 No. 212, Pages 58609-59623</w:t>
            </w:r>
          </w:p>
        </w:tc>
      </w:tr>
      <w:tr w:rsidR="00BF3EAC" w:rsidRPr="00D360A7" w:rsidTr="00F34438">
        <w:trPr>
          <w:trHeight w:val="152"/>
        </w:trPr>
        <w:tc>
          <w:tcPr>
            <w:tcW w:w="0" w:type="auto"/>
            <w:shd w:val="clear" w:color="auto" w:fill="auto"/>
          </w:tcPr>
          <w:p w:rsidR="00805266" w:rsidRPr="00FB79C6" w:rsidRDefault="00805266" w:rsidP="00805266">
            <w:pPr>
              <w:rPr>
                <w:sz w:val="20"/>
                <w:szCs w:val="20"/>
              </w:rPr>
            </w:pPr>
            <w:r w:rsidRPr="00FB79C6">
              <w:rPr>
                <w:sz w:val="20"/>
                <w:szCs w:val="20"/>
              </w:rPr>
              <w:lastRenderedPageBreak/>
              <w:t xml:space="preserve">40 CFR 63.1340--63.1359 (Subpart LLL) </w:t>
            </w:r>
          </w:p>
          <w:p w:rsidR="00805266" w:rsidRPr="00FB79C6" w:rsidRDefault="00805266" w:rsidP="00805266">
            <w:pPr>
              <w:pStyle w:val="HTMLPreformatted"/>
              <w:rPr>
                <w:rFonts w:ascii="Times New Roman" w:hAnsi="Times New Roman" w:cs="Times New Roman"/>
              </w:rPr>
            </w:pPr>
          </w:p>
          <w:p w:rsidR="00805266" w:rsidRPr="00FB79C6" w:rsidRDefault="00805266" w:rsidP="00805266">
            <w:pPr>
              <w:pStyle w:val="HTMLPreformatted"/>
              <w:rPr>
                <w:rFonts w:ascii="Times New Roman" w:hAnsi="Times New Roman" w:cs="Times New Roman"/>
              </w:rPr>
            </w:pPr>
          </w:p>
        </w:tc>
        <w:tc>
          <w:tcPr>
            <w:tcW w:w="0" w:type="auto"/>
            <w:shd w:val="clear" w:color="auto" w:fill="auto"/>
          </w:tcPr>
          <w:p w:rsidR="000210AC" w:rsidRPr="00FB79C6" w:rsidRDefault="000210AC" w:rsidP="000210AC">
            <w:pPr>
              <w:autoSpaceDE w:val="0"/>
              <w:autoSpaceDN w:val="0"/>
              <w:adjustRightInd w:val="0"/>
              <w:rPr>
                <w:sz w:val="20"/>
                <w:szCs w:val="20"/>
              </w:rPr>
            </w:pPr>
            <w:r w:rsidRPr="00FB79C6">
              <w:rPr>
                <w:sz w:val="20"/>
                <w:szCs w:val="20"/>
              </w:rPr>
              <w:t>No Changes</w:t>
            </w:r>
          </w:p>
          <w:p w:rsidR="00830365" w:rsidRPr="00FB79C6" w:rsidRDefault="00830365" w:rsidP="000210AC">
            <w:pPr>
              <w:autoSpaceDE w:val="0"/>
              <w:autoSpaceDN w:val="0"/>
              <w:adjustRightInd w:val="0"/>
              <w:rPr>
                <w:b/>
                <w:sz w:val="20"/>
                <w:szCs w:val="20"/>
              </w:rPr>
            </w:pPr>
            <w:r w:rsidRPr="00FB79C6">
              <w:rPr>
                <w:sz w:val="20"/>
                <w:szCs w:val="20"/>
              </w:rPr>
              <w:t xml:space="preserve"> </w:t>
            </w:r>
          </w:p>
        </w:tc>
      </w:tr>
      <w:tr w:rsidR="00BF3EAC" w:rsidRPr="00D360A7" w:rsidTr="00F34438">
        <w:trPr>
          <w:trHeight w:val="152"/>
        </w:trPr>
        <w:tc>
          <w:tcPr>
            <w:tcW w:w="0" w:type="auto"/>
            <w:shd w:val="clear" w:color="auto" w:fill="auto"/>
          </w:tcPr>
          <w:p w:rsidR="00805266" w:rsidRPr="00FB79C6" w:rsidRDefault="00805266" w:rsidP="00805266">
            <w:pPr>
              <w:pStyle w:val="HTMLPreformatted"/>
              <w:rPr>
                <w:rFonts w:ascii="Times New Roman" w:hAnsi="Times New Roman" w:cs="Times New Roman"/>
              </w:rPr>
            </w:pPr>
            <w:r w:rsidRPr="00FB79C6">
              <w:rPr>
                <w:rFonts w:ascii="Times New Roman" w:hAnsi="Times New Roman" w:cs="Times New Roman"/>
              </w:rPr>
              <w:t>40 CFR 63.1500--63.1520 (Subpart RRR)</w:t>
            </w:r>
          </w:p>
        </w:tc>
        <w:tc>
          <w:tcPr>
            <w:tcW w:w="0" w:type="auto"/>
            <w:shd w:val="clear" w:color="auto" w:fill="auto"/>
          </w:tcPr>
          <w:p w:rsidR="00805266" w:rsidRPr="00FB79C6" w:rsidRDefault="00805266" w:rsidP="00805266">
            <w:pPr>
              <w:autoSpaceDE w:val="0"/>
              <w:autoSpaceDN w:val="0"/>
              <w:adjustRightInd w:val="0"/>
              <w:rPr>
                <w:sz w:val="20"/>
                <w:szCs w:val="20"/>
              </w:rPr>
            </w:pPr>
            <w:r w:rsidRPr="00FB79C6">
              <w:rPr>
                <w:sz w:val="20"/>
                <w:szCs w:val="20"/>
              </w:rPr>
              <w:t>No Change</w:t>
            </w:r>
          </w:p>
        </w:tc>
      </w:tr>
      <w:tr w:rsidR="00BF3EAC" w:rsidRPr="00D360A7" w:rsidTr="00F34438">
        <w:trPr>
          <w:trHeight w:val="152"/>
        </w:trPr>
        <w:tc>
          <w:tcPr>
            <w:tcW w:w="0" w:type="auto"/>
            <w:shd w:val="clear" w:color="auto" w:fill="auto"/>
          </w:tcPr>
          <w:p w:rsidR="00805266" w:rsidRPr="00FB79C6" w:rsidRDefault="00805266" w:rsidP="00805266">
            <w:pPr>
              <w:pStyle w:val="HTMLPreformatted"/>
              <w:rPr>
                <w:rFonts w:ascii="Times New Roman" w:hAnsi="Times New Roman" w:cs="Times New Roman"/>
              </w:rPr>
            </w:pPr>
            <w:r w:rsidRPr="00FB79C6">
              <w:rPr>
                <w:rFonts w:ascii="Times New Roman" w:hAnsi="Times New Roman" w:cs="Times New Roman"/>
              </w:rPr>
              <w:t>40 CFR 63.1560--63.1579 (Subpart UUU)</w:t>
            </w:r>
          </w:p>
        </w:tc>
        <w:tc>
          <w:tcPr>
            <w:tcW w:w="0" w:type="auto"/>
            <w:shd w:val="clear" w:color="auto" w:fill="auto"/>
          </w:tcPr>
          <w:p w:rsidR="00715955" w:rsidRDefault="00FB79C6" w:rsidP="001B7641">
            <w:pPr>
              <w:autoSpaceDE w:val="0"/>
              <w:autoSpaceDN w:val="0"/>
              <w:adjustRightInd w:val="0"/>
              <w:rPr>
                <w:sz w:val="20"/>
                <w:szCs w:val="20"/>
              </w:rPr>
            </w:pPr>
            <w:r w:rsidRPr="00FB79C6">
              <w:rPr>
                <w:sz w:val="20"/>
                <w:szCs w:val="20"/>
              </w:rPr>
              <w:t>■ 9. Revise Table 4 to Subpart UUU of Part 63 to read as follows: Table 4 to Subpart UUU of Part 63— Requirements for Performance Tests for Metal HAP Emissions From Catalytic Cracking Units As stated in §§ 63.1564(b)(2) and 63.1571(a)(5), you shall meet each requirement in the following table that applies to you.</w:t>
            </w:r>
          </w:p>
          <w:p w:rsidR="00FB79C6" w:rsidRPr="00FB79C6" w:rsidRDefault="00FB79C6" w:rsidP="001B7641">
            <w:pPr>
              <w:autoSpaceDE w:val="0"/>
              <w:autoSpaceDN w:val="0"/>
              <w:adjustRightInd w:val="0"/>
              <w:rPr>
                <w:b/>
                <w:sz w:val="20"/>
                <w:szCs w:val="20"/>
              </w:rPr>
            </w:pPr>
            <w:r w:rsidRPr="00FB79C6">
              <w:rPr>
                <w:b/>
                <w:sz w:val="20"/>
                <w:szCs w:val="20"/>
              </w:rPr>
              <w:t>February 4, 2020 FR Vol 85 No. 23</w:t>
            </w:r>
          </w:p>
        </w:tc>
      </w:tr>
      <w:tr w:rsidR="00BF3EAC" w:rsidRPr="00D360A7" w:rsidTr="00F34438">
        <w:trPr>
          <w:trHeight w:val="152"/>
        </w:trPr>
        <w:tc>
          <w:tcPr>
            <w:tcW w:w="0" w:type="auto"/>
            <w:shd w:val="clear" w:color="auto" w:fill="auto"/>
          </w:tcPr>
          <w:p w:rsidR="00805266" w:rsidRPr="00FB79C6" w:rsidRDefault="00805266" w:rsidP="00805266">
            <w:pPr>
              <w:pStyle w:val="HTMLPreformatted"/>
              <w:rPr>
                <w:rFonts w:ascii="Times New Roman" w:hAnsi="Times New Roman" w:cs="Times New Roman"/>
              </w:rPr>
            </w:pPr>
            <w:r w:rsidRPr="00FB79C6">
              <w:rPr>
                <w:rFonts w:ascii="Times New Roman" w:hAnsi="Times New Roman" w:cs="Times New Roman"/>
              </w:rPr>
              <w:t>63.9980--63.10042 (Subpart UUUUU)</w:t>
            </w:r>
          </w:p>
        </w:tc>
        <w:tc>
          <w:tcPr>
            <w:tcW w:w="0" w:type="auto"/>
            <w:shd w:val="clear" w:color="auto" w:fill="auto"/>
          </w:tcPr>
          <w:p w:rsidR="00FB79C6" w:rsidRDefault="00FB79C6" w:rsidP="00FB79C6">
            <w:pPr>
              <w:autoSpaceDE w:val="0"/>
              <w:autoSpaceDN w:val="0"/>
              <w:adjustRightInd w:val="0"/>
              <w:rPr>
                <w:sz w:val="20"/>
                <w:szCs w:val="20"/>
              </w:rPr>
            </w:pPr>
            <w:r w:rsidRPr="00FB79C6">
              <w:rPr>
                <w:sz w:val="20"/>
                <w:szCs w:val="20"/>
              </w:rPr>
              <w:t xml:space="preserve">■ 2. Section 63.9982 is amended by revising paragraph (d) to read as follows: </w:t>
            </w:r>
          </w:p>
          <w:p w:rsidR="00FB79C6" w:rsidRDefault="00FB79C6" w:rsidP="00FB79C6">
            <w:pPr>
              <w:autoSpaceDE w:val="0"/>
              <w:autoSpaceDN w:val="0"/>
              <w:adjustRightInd w:val="0"/>
              <w:rPr>
                <w:sz w:val="20"/>
                <w:szCs w:val="20"/>
              </w:rPr>
            </w:pPr>
            <w:r w:rsidRPr="00FB79C6">
              <w:rPr>
                <w:sz w:val="20"/>
                <w:szCs w:val="20"/>
              </w:rPr>
              <w:t>§ 63.9982 What is the affected source of this subpart? * * * * * (d) An EGU is existing if it is not new or reconstructed. An existing electric steam generating unit that meets the applicability requirements after April 16, 2012, due to a change in process (e.g., fuel or utilization) is considered to be an existing source under this subpart.</w:t>
            </w:r>
          </w:p>
          <w:p w:rsidR="00FB79C6" w:rsidRDefault="00FB79C6" w:rsidP="00FB79C6">
            <w:pPr>
              <w:autoSpaceDE w:val="0"/>
              <w:autoSpaceDN w:val="0"/>
              <w:adjustRightInd w:val="0"/>
              <w:rPr>
                <w:sz w:val="20"/>
                <w:szCs w:val="20"/>
              </w:rPr>
            </w:pPr>
          </w:p>
          <w:p w:rsidR="00FB79C6" w:rsidRDefault="00FB79C6" w:rsidP="00FB79C6">
            <w:pPr>
              <w:autoSpaceDE w:val="0"/>
              <w:autoSpaceDN w:val="0"/>
              <w:adjustRightInd w:val="0"/>
              <w:rPr>
                <w:sz w:val="20"/>
                <w:szCs w:val="20"/>
              </w:rPr>
            </w:pPr>
            <w:r w:rsidRPr="00FB79C6">
              <w:rPr>
                <w:sz w:val="20"/>
                <w:szCs w:val="20"/>
              </w:rPr>
              <w:t xml:space="preserve"> ■ 3. Section 63.9984 is amended by revising paragraphs (b) and (f) and adding paragraph (g) to read as follows: </w:t>
            </w:r>
          </w:p>
          <w:p w:rsidR="00FB79C6" w:rsidRDefault="00FB79C6" w:rsidP="00FB79C6">
            <w:pPr>
              <w:autoSpaceDE w:val="0"/>
              <w:autoSpaceDN w:val="0"/>
              <w:adjustRightInd w:val="0"/>
              <w:rPr>
                <w:sz w:val="20"/>
                <w:szCs w:val="20"/>
              </w:rPr>
            </w:pPr>
            <w:r w:rsidRPr="00FB79C6">
              <w:rPr>
                <w:sz w:val="20"/>
                <w:szCs w:val="20"/>
              </w:rPr>
              <w:t xml:space="preserve">§ 63.9984 When do I have to comply with this subpart? * * * * * (b) If you have an existing EGU, you must comply with this subpart no </w:t>
            </w:r>
            <w:r w:rsidRPr="00FB79C6">
              <w:rPr>
                <w:sz w:val="20"/>
                <w:szCs w:val="20"/>
              </w:rPr>
              <w:lastRenderedPageBreak/>
              <w:t xml:space="preserve">later than April 16, 2015, except as provided in paragraph (g) of this section. * * * * * (f) You must demonstrate that compliance has been achieved, by conducting the required performance tests and other activities, no later than 180 days after the applicable date in paragraph (a), (b), (c), (d), (e), or (g) of this section. (g) If you own or operate an EGU that is in the Unit designed for eastern bituminous coal refuse (EBCR) subcategory as defined in § 63.10042, you must comply with the applicable hydrogen chloride (HCl) or sulfur dioxide (SO2) requirements of this subpart no later than April 15, 2020. </w:t>
            </w:r>
          </w:p>
          <w:p w:rsidR="00FB79C6" w:rsidRDefault="00FB79C6" w:rsidP="00FB79C6">
            <w:pPr>
              <w:autoSpaceDE w:val="0"/>
              <w:autoSpaceDN w:val="0"/>
              <w:adjustRightInd w:val="0"/>
              <w:rPr>
                <w:sz w:val="20"/>
                <w:szCs w:val="20"/>
              </w:rPr>
            </w:pPr>
          </w:p>
          <w:p w:rsidR="00FB79C6" w:rsidRDefault="00FB79C6" w:rsidP="00FB79C6">
            <w:pPr>
              <w:autoSpaceDE w:val="0"/>
              <w:autoSpaceDN w:val="0"/>
              <w:adjustRightInd w:val="0"/>
              <w:rPr>
                <w:sz w:val="20"/>
                <w:szCs w:val="20"/>
              </w:rPr>
            </w:pPr>
            <w:r w:rsidRPr="00FB79C6">
              <w:rPr>
                <w:sz w:val="20"/>
                <w:szCs w:val="20"/>
              </w:rPr>
              <w:t>■ 4. Section 63.9990 is amended by revising paragraph (a) to read as follows:</w:t>
            </w:r>
          </w:p>
          <w:p w:rsidR="00FB79C6" w:rsidRDefault="00FB79C6" w:rsidP="00FB79C6">
            <w:pPr>
              <w:autoSpaceDE w:val="0"/>
              <w:autoSpaceDN w:val="0"/>
              <w:adjustRightInd w:val="0"/>
              <w:rPr>
                <w:sz w:val="20"/>
                <w:szCs w:val="20"/>
              </w:rPr>
            </w:pPr>
            <w:r w:rsidRPr="00FB79C6">
              <w:rPr>
                <w:sz w:val="20"/>
                <w:szCs w:val="20"/>
              </w:rPr>
              <w:t xml:space="preserve"> § 63.9990 What are the subcategories of EGUs? (a) Coal-fired EGUs are subcategorized as defined in paragraphs (a)(1) through (3) of this section and as defined in § 63.10042. (1) EGUs designed for coal with a heating value greater than or equal to 8,300 Btu/lb, (2) EGUs designed for low rank virgin coal, and (3) EGUs designed for EBCR. * * * * * </w:t>
            </w:r>
          </w:p>
          <w:p w:rsidR="00FB79C6" w:rsidRDefault="00FB79C6" w:rsidP="00FB79C6">
            <w:pPr>
              <w:autoSpaceDE w:val="0"/>
              <w:autoSpaceDN w:val="0"/>
              <w:adjustRightInd w:val="0"/>
              <w:rPr>
                <w:sz w:val="20"/>
                <w:szCs w:val="20"/>
              </w:rPr>
            </w:pPr>
          </w:p>
          <w:p w:rsidR="00FB79C6" w:rsidRDefault="00FB79C6" w:rsidP="00FB79C6">
            <w:pPr>
              <w:autoSpaceDE w:val="0"/>
              <w:autoSpaceDN w:val="0"/>
              <w:adjustRightInd w:val="0"/>
              <w:rPr>
                <w:sz w:val="20"/>
                <w:szCs w:val="20"/>
              </w:rPr>
            </w:pPr>
            <w:r w:rsidRPr="00FB79C6">
              <w:rPr>
                <w:sz w:val="20"/>
                <w:szCs w:val="20"/>
              </w:rPr>
              <w:t xml:space="preserve">■ 5. Section 63.10042 is amended by adding definitions for ‘‘Eastern bituminous coal refuse (EBCR),’’ ‘‘Net summer capacity,’’ and ‘‘Unit designed for eastern bituminous coal refuse (EBCR) subcategory’’ in alphabetical order to read as follows: </w:t>
            </w:r>
          </w:p>
          <w:p w:rsidR="00FB79C6" w:rsidRDefault="00FB79C6" w:rsidP="00FB79C6">
            <w:pPr>
              <w:autoSpaceDE w:val="0"/>
              <w:autoSpaceDN w:val="0"/>
              <w:adjustRightInd w:val="0"/>
              <w:rPr>
                <w:sz w:val="20"/>
                <w:szCs w:val="20"/>
              </w:rPr>
            </w:pPr>
            <w:r w:rsidRPr="00FB79C6">
              <w:rPr>
                <w:sz w:val="20"/>
                <w:szCs w:val="20"/>
              </w:rPr>
              <w:t>§ 63.10042 What definitions apply to this subpart? * * * * * Eastern bituminous coal refuse (EBCR) means coal refuse generated from the mining of bituminous coal in Pennsylvania and West Virginia. * * * * * Net summer capacity means the maximum output, commonly expressed in megawatts (MW), that generating equipment can supply to system load, as demonstrated by a multi-hour test, at the time of summer peak demand (period of June 1 through September 30.) This output reflects a reduction in capacity due to electricity use for station service or auxiliaries. * * * * * Unit designed for eastern bituminous coal refuse (EBCR) subcategory means any existing (i.e., construction was commenced on or before May 3, 2011) coal-fired EGU with a net summer capacity of no greater than 150 MW that is designed to burn and that is burning 75 percent or more (by heat input) eastern bituminous coal refuse on a 12- month rolling average basis. * * * * *</w:t>
            </w:r>
          </w:p>
          <w:p w:rsidR="00FB79C6" w:rsidRDefault="00FB79C6" w:rsidP="00FB79C6">
            <w:pPr>
              <w:autoSpaceDE w:val="0"/>
              <w:autoSpaceDN w:val="0"/>
              <w:adjustRightInd w:val="0"/>
              <w:rPr>
                <w:sz w:val="20"/>
                <w:szCs w:val="20"/>
              </w:rPr>
            </w:pPr>
          </w:p>
          <w:p w:rsidR="00FB79C6" w:rsidRPr="00FB79C6" w:rsidRDefault="00FB79C6" w:rsidP="00FB79C6">
            <w:pPr>
              <w:autoSpaceDE w:val="0"/>
              <w:autoSpaceDN w:val="0"/>
              <w:adjustRightInd w:val="0"/>
              <w:rPr>
                <w:b/>
                <w:color w:val="FF0000"/>
                <w:sz w:val="20"/>
                <w:szCs w:val="20"/>
              </w:rPr>
            </w:pPr>
            <w:r w:rsidRPr="00FB79C6">
              <w:rPr>
                <w:sz w:val="20"/>
                <w:szCs w:val="20"/>
              </w:rPr>
              <w:t xml:space="preserve"> ■ 6. Table 2 to Subpart UUUUU of Part 63 is revised to read as follows: Table 2 to Subpart UUUUU of Part 63— Emission Limits for Existing EGUs As stated in § 63.9991, you must comply with the f</w:t>
            </w:r>
            <w:r w:rsidRPr="00FB79C6">
              <w:rPr>
                <w:sz w:val="20"/>
                <w:szCs w:val="20"/>
              </w:rPr>
              <w:t>ollowing applicable emission limits.</w:t>
            </w:r>
            <w:r>
              <w:rPr>
                <w:sz w:val="20"/>
                <w:szCs w:val="20"/>
              </w:rPr>
              <w:t xml:space="preserve"> (Table beginning page 20850)</w:t>
            </w:r>
          </w:p>
          <w:p w:rsidR="00805266" w:rsidRPr="00FB79C6" w:rsidRDefault="00FB79C6" w:rsidP="001B7641">
            <w:pPr>
              <w:autoSpaceDE w:val="0"/>
              <w:autoSpaceDN w:val="0"/>
              <w:adjustRightInd w:val="0"/>
              <w:rPr>
                <w:b/>
                <w:sz w:val="20"/>
                <w:szCs w:val="20"/>
              </w:rPr>
            </w:pPr>
            <w:r w:rsidRPr="00FB79C6">
              <w:rPr>
                <w:b/>
                <w:sz w:val="20"/>
                <w:szCs w:val="20"/>
              </w:rPr>
              <w:t>April 15, 2020 FR Vol 85 No. 73</w:t>
            </w:r>
          </w:p>
        </w:tc>
      </w:tr>
    </w:tbl>
    <w:p w:rsidR="007C2900" w:rsidRPr="00D360A7" w:rsidRDefault="007C2900" w:rsidP="00F34438">
      <w:pPr>
        <w:rPr>
          <w:color w:val="FF0000"/>
          <w:sz w:val="20"/>
          <w:szCs w:val="20"/>
        </w:rPr>
      </w:pPr>
    </w:p>
    <w:sectPr w:rsidR="007C2900" w:rsidRPr="00D360A7" w:rsidSect="007C2900">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282" w:rsidRDefault="00650282">
      <w:r>
        <w:separator/>
      </w:r>
    </w:p>
  </w:endnote>
  <w:endnote w:type="continuationSeparator" w:id="0">
    <w:p w:rsidR="00650282" w:rsidRDefault="006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4" w:rsidRDefault="00870163" w:rsidP="00FE4936">
    <w:pPr>
      <w:pStyle w:val="Footer"/>
      <w:jc w:val="center"/>
    </w:pPr>
    <w:r>
      <w:rPr>
        <w:noProof/>
      </w:rPr>
      <w:drawing>
        <wp:inline distT="0" distB="0" distL="0" distR="0">
          <wp:extent cx="762000" cy="914400"/>
          <wp:effectExtent l="0" t="0" r="0" b="0"/>
          <wp:docPr id="1" name="Picture 1" descr="print-1-inch-aq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1-inch-aq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282" w:rsidRDefault="00650282">
      <w:r>
        <w:separator/>
      </w:r>
    </w:p>
  </w:footnote>
  <w:footnote w:type="continuationSeparator" w:id="0">
    <w:p w:rsidR="00650282" w:rsidRDefault="0065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4" w:rsidRDefault="00D360A7" w:rsidP="00B245C2">
    <w:pPr>
      <w:pStyle w:val="Header"/>
      <w:jc w:val="right"/>
    </w:pPr>
    <w:r>
      <w:t>February 3</w:t>
    </w:r>
    <w:r w:rsidR="003A7594">
      <w:t>, 20</w:t>
    </w:r>
    <w:r w:rsidR="002F4F19">
      <w:t>2</w:t>
    </w:r>
    <w:r>
      <w:t>1</w:t>
    </w:r>
    <w:r w:rsidR="003A7594">
      <w:tab/>
    </w:r>
    <w:r w:rsidR="003A7594">
      <w:tab/>
    </w:r>
    <w:r w:rsidR="003A7594">
      <w:tab/>
    </w:r>
    <w:r w:rsidR="003A7594">
      <w:tab/>
    </w:r>
    <w:r w:rsidR="003A7594">
      <w:tab/>
    </w:r>
    <w:r w:rsidR="003A7594">
      <w:tab/>
      <w:t xml:space="preserve">Page </w:t>
    </w:r>
    <w:r w:rsidR="003A7594">
      <w:rPr>
        <w:b/>
        <w:bCs/>
      </w:rPr>
      <w:fldChar w:fldCharType="begin"/>
    </w:r>
    <w:r w:rsidR="003A7594">
      <w:rPr>
        <w:b/>
        <w:bCs/>
      </w:rPr>
      <w:instrText xml:space="preserve"> PAGE </w:instrText>
    </w:r>
    <w:r w:rsidR="003A7594">
      <w:rPr>
        <w:b/>
        <w:bCs/>
      </w:rPr>
      <w:fldChar w:fldCharType="separate"/>
    </w:r>
    <w:r w:rsidR="008968B6">
      <w:rPr>
        <w:b/>
        <w:bCs/>
        <w:noProof/>
      </w:rPr>
      <w:t>3</w:t>
    </w:r>
    <w:r w:rsidR="003A7594">
      <w:rPr>
        <w:b/>
        <w:bCs/>
      </w:rPr>
      <w:fldChar w:fldCharType="end"/>
    </w:r>
    <w:r w:rsidR="003A7594">
      <w:t xml:space="preserve"> of </w:t>
    </w:r>
    <w:r w:rsidR="003A7594">
      <w:rPr>
        <w:b/>
        <w:bCs/>
      </w:rPr>
      <w:fldChar w:fldCharType="begin"/>
    </w:r>
    <w:r w:rsidR="003A7594">
      <w:rPr>
        <w:b/>
        <w:bCs/>
      </w:rPr>
      <w:instrText xml:space="preserve"> NUMPAGES  </w:instrText>
    </w:r>
    <w:r w:rsidR="003A7594">
      <w:rPr>
        <w:b/>
        <w:bCs/>
      </w:rPr>
      <w:fldChar w:fldCharType="separate"/>
    </w:r>
    <w:r w:rsidR="008968B6">
      <w:rPr>
        <w:b/>
        <w:bCs/>
        <w:noProof/>
      </w:rPr>
      <w:t>12</w:t>
    </w:r>
    <w:r w:rsidR="003A7594">
      <w:rPr>
        <w:b/>
        <w:bCs/>
      </w:rPr>
      <w:fldChar w:fldCharType="end"/>
    </w:r>
  </w:p>
  <w:p w:rsidR="003A7594" w:rsidRDefault="003A7594" w:rsidP="0048494E">
    <w:pPr>
      <w:pStyle w:val="Header"/>
      <w:jc w:val="center"/>
      <w:rPr>
        <w:b/>
        <w:sz w:val="32"/>
        <w:szCs w:val="32"/>
      </w:rPr>
    </w:pPr>
    <w:r w:rsidRPr="00B245C2">
      <w:rPr>
        <w:b/>
        <w:sz w:val="32"/>
        <w:szCs w:val="32"/>
      </w:rPr>
      <w:t>R307-214: Changes to 40 CFR 61 and 63</w:t>
    </w:r>
    <w:r>
      <w:rPr>
        <w:b/>
        <w:sz w:val="32"/>
        <w:szCs w:val="32"/>
      </w:rPr>
      <w:br/>
    </w:r>
    <w:r w:rsidRPr="00B245C2">
      <w:rPr>
        <w:b/>
        <w:sz w:val="32"/>
        <w:szCs w:val="32"/>
      </w:rPr>
      <w:t>From July 1, 201</w:t>
    </w:r>
    <w:r w:rsidR="00D360A7">
      <w:rPr>
        <w:b/>
        <w:sz w:val="32"/>
        <w:szCs w:val="32"/>
      </w:rPr>
      <w:t>9</w:t>
    </w:r>
    <w:r w:rsidRPr="00B245C2">
      <w:rPr>
        <w:b/>
        <w:sz w:val="32"/>
        <w:szCs w:val="32"/>
      </w:rPr>
      <w:t xml:space="preserve"> to July 1, 20</w:t>
    </w:r>
    <w:r w:rsidR="00D360A7">
      <w:rPr>
        <w:b/>
        <w:sz w:val="32"/>
        <w:szCs w:val="32"/>
      </w:rPr>
      <w:t>20</w:t>
    </w:r>
  </w:p>
  <w:p w:rsidR="003A7594" w:rsidRPr="00B245C2" w:rsidRDefault="003A7594" w:rsidP="00B245C2">
    <w:pPr>
      <w:pStyle w:val="Header"/>
      <w:spacing w:line="120" w:lineRule="auto"/>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604E"/>
    <w:multiLevelType w:val="hybridMultilevel"/>
    <w:tmpl w:val="8632D294"/>
    <w:lvl w:ilvl="0" w:tplc="CD888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00"/>
    <w:rsid w:val="000005B3"/>
    <w:rsid w:val="000010BE"/>
    <w:rsid w:val="00003005"/>
    <w:rsid w:val="00005338"/>
    <w:rsid w:val="000059CC"/>
    <w:rsid w:val="00007FF4"/>
    <w:rsid w:val="0001216E"/>
    <w:rsid w:val="000210AC"/>
    <w:rsid w:val="000244C8"/>
    <w:rsid w:val="0004621B"/>
    <w:rsid w:val="00047F39"/>
    <w:rsid w:val="00052BFC"/>
    <w:rsid w:val="0005692F"/>
    <w:rsid w:val="00057CCA"/>
    <w:rsid w:val="000626D5"/>
    <w:rsid w:val="0008027C"/>
    <w:rsid w:val="00081DA9"/>
    <w:rsid w:val="000829DB"/>
    <w:rsid w:val="00083AB7"/>
    <w:rsid w:val="00084D8F"/>
    <w:rsid w:val="000863B1"/>
    <w:rsid w:val="00086CBE"/>
    <w:rsid w:val="0009337B"/>
    <w:rsid w:val="00095242"/>
    <w:rsid w:val="000A24AC"/>
    <w:rsid w:val="000B674F"/>
    <w:rsid w:val="000C0790"/>
    <w:rsid w:val="000C7A60"/>
    <w:rsid w:val="000E48E7"/>
    <w:rsid w:val="000F50A8"/>
    <w:rsid w:val="00100D8D"/>
    <w:rsid w:val="001068D2"/>
    <w:rsid w:val="00114740"/>
    <w:rsid w:val="00126065"/>
    <w:rsid w:val="0012718D"/>
    <w:rsid w:val="00132DB3"/>
    <w:rsid w:val="00135E22"/>
    <w:rsid w:val="001431C6"/>
    <w:rsid w:val="00145523"/>
    <w:rsid w:val="00147FF6"/>
    <w:rsid w:val="00161238"/>
    <w:rsid w:val="00164D5E"/>
    <w:rsid w:val="0016656B"/>
    <w:rsid w:val="00172E51"/>
    <w:rsid w:val="001739F7"/>
    <w:rsid w:val="00191EAC"/>
    <w:rsid w:val="001921E6"/>
    <w:rsid w:val="00192FAC"/>
    <w:rsid w:val="001A0049"/>
    <w:rsid w:val="001B7641"/>
    <w:rsid w:val="001B7A29"/>
    <w:rsid w:val="001C216C"/>
    <w:rsid w:val="001C216F"/>
    <w:rsid w:val="001C289A"/>
    <w:rsid w:val="001D74EC"/>
    <w:rsid w:val="001E0AE1"/>
    <w:rsid w:val="001E6B6C"/>
    <w:rsid w:val="001F5934"/>
    <w:rsid w:val="001F6C1A"/>
    <w:rsid w:val="00214650"/>
    <w:rsid w:val="0022230D"/>
    <w:rsid w:val="0022478B"/>
    <w:rsid w:val="00236E41"/>
    <w:rsid w:val="002444CC"/>
    <w:rsid w:val="002453D8"/>
    <w:rsid w:val="00252DBC"/>
    <w:rsid w:val="002575EC"/>
    <w:rsid w:val="00257BE7"/>
    <w:rsid w:val="00266067"/>
    <w:rsid w:val="00271921"/>
    <w:rsid w:val="00272927"/>
    <w:rsid w:val="00274911"/>
    <w:rsid w:val="002800AB"/>
    <w:rsid w:val="002819B0"/>
    <w:rsid w:val="00286E12"/>
    <w:rsid w:val="002871DC"/>
    <w:rsid w:val="002914D5"/>
    <w:rsid w:val="002A08EF"/>
    <w:rsid w:val="002A10D6"/>
    <w:rsid w:val="002A1A47"/>
    <w:rsid w:val="002A2C09"/>
    <w:rsid w:val="002B2A64"/>
    <w:rsid w:val="002B2F6F"/>
    <w:rsid w:val="002C01F0"/>
    <w:rsid w:val="002C26D2"/>
    <w:rsid w:val="002C533B"/>
    <w:rsid w:val="002D6033"/>
    <w:rsid w:val="002D7908"/>
    <w:rsid w:val="002D7CDB"/>
    <w:rsid w:val="002E1EFB"/>
    <w:rsid w:val="002E214E"/>
    <w:rsid w:val="002E557E"/>
    <w:rsid w:val="002E5C47"/>
    <w:rsid w:val="002E6F51"/>
    <w:rsid w:val="002F0716"/>
    <w:rsid w:val="002F4F19"/>
    <w:rsid w:val="00303C44"/>
    <w:rsid w:val="003078B5"/>
    <w:rsid w:val="003114AF"/>
    <w:rsid w:val="003148D3"/>
    <w:rsid w:val="00316E76"/>
    <w:rsid w:val="0033158F"/>
    <w:rsid w:val="00331C82"/>
    <w:rsid w:val="00331D23"/>
    <w:rsid w:val="00333A8B"/>
    <w:rsid w:val="003414C5"/>
    <w:rsid w:val="00341C0F"/>
    <w:rsid w:val="00346156"/>
    <w:rsid w:val="00351FD5"/>
    <w:rsid w:val="003571FA"/>
    <w:rsid w:val="00376268"/>
    <w:rsid w:val="00387791"/>
    <w:rsid w:val="003902F0"/>
    <w:rsid w:val="0039694B"/>
    <w:rsid w:val="003A131D"/>
    <w:rsid w:val="003A287F"/>
    <w:rsid w:val="003A7594"/>
    <w:rsid w:val="003B202D"/>
    <w:rsid w:val="003B3E02"/>
    <w:rsid w:val="003C2A41"/>
    <w:rsid w:val="003C53B1"/>
    <w:rsid w:val="003D5EA4"/>
    <w:rsid w:val="003E32DB"/>
    <w:rsid w:val="003F1F2D"/>
    <w:rsid w:val="003F2A42"/>
    <w:rsid w:val="003F604A"/>
    <w:rsid w:val="00401BFF"/>
    <w:rsid w:val="0040488D"/>
    <w:rsid w:val="00411C39"/>
    <w:rsid w:val="00413122"/>
    <w:rsid w:val="00415DEE"/>
    <w:rsid w:val="004244AD"/>
    <w:rsid w:val="00426602"/>
    <w:rsid w:val="00426E3F"/>
    <w:rsid w:val="004323B8"/>
    <w:rsid w:val="0043441B"/>
    <w:rsid w:val="0043727B"/>
    <w:rsid w:val="004525C2"/>
    <w:rsid w:val="00463B06"/>
    <w:rsid w:val="00467EE7"/>
    <w:rsid w:val="00477E8D"/>
    <w:rsid w:val="00481363"/>
    <w:rsid w:val="0048494E"/>
    <w:rsid w:val="00491593"/>
    <w:rsid w:val="00495315"/>
    <w:rsid w:val="00497B2F"/>
    <w:rsid w:val="004A2580"/>
    <w:rsid w:val="004A2C44"/>
    <w:rsid w:val="004A3156"/>
    <w:rsid w:val="004A3B09"/>
    <w:rsid w:val="004A6235"/>
    <w:rsid w:val="004A73A0"/>
    <w:rsid w:val="004B54AD"/>
    <w:rsid w:val="004B5FE1"/>
    <w:rsid w:val="004C2528"/>
    <w:rsid w:val="004C27F0"/>
    <w:rsid w:val="004C3D9E"/>
    <w:rsid w:val="004C3EFB"/>
    <w:rsid w:val="004C5E6C"/>
    <w:rsid w:val="004D70E7"/>
    <w:rsid w:val="004E639F"/>
    <w:rsid w:val="004F3CF0"/>
    <w:rsid w:val="004F4672"/>
    <w:rsid w:val="0050118F"/>
    <w:rsid w:val="00510188"/>
    <w:rsid w:val="00521253"/>
    <w:rsid w:val="00522EA6"/>
    <w:rsid w:val="00524D8B"/>
    <w:rsid w:val="0052541E"/>
    <w:rsid w:val="00525ED8"/>
    <w:rsid w:val="00536660"/>
    <w:rsid w:val="005467D2"/>
    <w:rsid w:val="00547108"/>
    <w:rsid w:val="0056062E"/>
    <w:rsid w:val="0056770A"/>
    <w:rsid w:val="0057070D"/>
    <w:rsid w:val="00570750"/>
    <w:rsid w:val="00584B28"/>
    <w:rsid w:val="005854E7"/>
    <w:rsid w:val="00593E97"/>
    <w:rsid w:val="005A1518"/>
    <w:rsid w:val="005B3C65"/>
    <w:rsid w:val="005B647A"/>
    <w:rsid w:val="005C06ED"/>
    <w:rsid w:val="005C3AAB"/>
    <w:rsid w:val="005C4849"/>
    <w:rsid w:val="005E5950"/>
    <w:rsid w:val="005F0CCD"/>
    <w:rsid w:val="005F5A21"/>
    <w:rsid w:val="005F75CA"/>
    <w:rsid w:val="0060193F"/>
    <w:rsid w:val="00607300"/>
    <w:rsid w:val="00610DA2"/>
    <w:rsid w:val="006167A7"/>
    <w:rsid w:val="006205ED"/>
    <w:rsid w:val="006225C9"/>
    <w:rsid w:val="006314B3"/>
    <w:rsid w:val="006374A7"/>
    <w:rsid w:val="00641AD2"/>
    <w:rsid w:val="00650282"/>
    <w:rsid w:val="006521DF"/>
    <w:rsid w:val="00661562"/>
    <w:rsid w:val="006658F5"/>
    <w:rsid w:val="00667A2F"/>
    <w:rsid w:val="006729ED"/>
    <w:rsid w:val="006739CD"/>
    <w:rsid w:val="00682F8A"/>
    <w:rsid w:val="006A1FD9"/>
    <w:rsid w:val="006A3212"/>
    <w:rsid w:val="006B1029"/>
    <w:rsid w:val="006B4AF7"/>
    <w:rsid w:val="006C611C"/>
    <w:rsid w:val="006C6529"/>
    <w:rsid w:val="006D5824"/>
    <w:rsid w:val="006E1179"/>
    <w:rsid w:val="006E453C"/>
    <w:rsid w:val="006E6020"/>
    <w:rsid w:val="006F78A3"/>
    <w:rsid w:val="0070425C"/>
    <w:rsid w:val="00706462"/>
    <w:rsid w:val="00707849"/>
    <w:rsid w:val="00712860"/>
    <w:rsid w:val="00715955"/>
    <w:rsid w:val="007162E0"/>
    <w:rsid w:val="00724FE9"/>
    <w:rsid w:val="007275BB"/>
    <w:rsid w:val="00731015"/>
    <w:rsid w:val="007452C8"/>
    <w:rsid w:val="00751B81"/>
    <w:rsid w:val="00751C2F"/>
    <w:rsid w:val="007651CC"/>
    <w:rsid w:val="00772B3D"/>
    <w:rsid w:val="007918F9"/>
    <w:rsid w:val="007965F1"/>
    <w:rsid w:val="007A0A55"/>
    <w:rsid w:val="007A2AF3"/>
    <w:rsid w:val="007A4366"/>
    <w:rsid w:val="007B1277"/>
    <w:rsid w:val="007B1352"/>
    <w:rsid w:val="007B1809"/>
    <w:rsid w:val="007C2900"/>
    <w:rsid w:val="007C5CED"/>
    <w:rsid w:val="007C6C03"/>
    <w:rsid w:val="007E04B8"/>
    <w:rsid w:val="007E3E69"/>
    <w:rsid w:val="007E6EAB"/>
    <w:rsid w:val="007E74EC"/>
    <w:rsid w:val="00801AAB"/>
    <w:rsid w:val="00801E1F"/>
    <w:rsid w:val="00805266"/>
    <w:rsid w:val="008122E2"/>
    <w:rsid w:val="00823B5A"/>
    <w:rsid w:val="00823D85"/>
    <w:rsid w:val="00825076"/>
    <w:rsid w:val="008279F6"/>
    <w:rsid w:val="00830365"/>
    <w:rsid w:val="008308EF"/>
    <w:rsid w:val="008347A1"/>
    <w:rsid w:val="00836F81"/>
    <w:rsid w:val="0084446C"/>
    <w:rsid w:val="0084571D"/>
    <w:rsid w:val="00846F86"/>
    <w:rsid w:val="00850BFC"/>
    <w:rsid w:val="00852FEA"/>
    <w:rsid w:val="00854341"/>
    <w:rsid w:val="008627A9"/>
    <w:rsid w:val="00870163"/>
    <w:rsid w:val="008718E2"/>
    <w:rsid w:val="00874DD2"/>
    <w:rsid w:val="00883B35"/>
    <w:rsid w:val="008852D3"/>
    <w:rsid w:val="0089393B"/>
    <w:rsid w:val="00893CE1"/>
    <w:rsid w:val="00894FB1"/>
    <w:rsid w:val="008968B6"/>
    <w:rsid w:val="008A049E"/>
    <w:rsid w:val="008A7A3C"/>
    <w:rsid w:val="008C123F"/>
    <w:rsid w:val="008C2CE7"/>
    <w:rsid w:val="008D4B2C"/>
    <w:rsid w:val="008E08B5"/>
    <w:rsid w:val="008E751D"/>
    <w:rsid w:val="008F6828"/>
    <w:rsid w:val="009210ED"/>
    <w:rsid w:val="00930CCC"/>
    <w:rsid w:val="00946B54"/>
    <w:rsid w:val="009535A2"/>
    <w:rsid w:val="0095423E"/>
    <w:rsid w:val="00955CC3"/>
    <w:rsid w:val="00966D31"/>
    <w:rsid w:val="00967B42"/>
    <w:rsid w:val="00972391"/>
    <w:rsid w:val="00981821"/>
    <w:rsid w:val="00986497"/>
    <w:rsid w:val="00992AFA"/>
    <w:rsid w:val="0099788B"/>
    <w:rsid w:val="009B0373"/>
    <w:rsid w:val="009B0C1D"/>
    <w:rsid w:val="009B1847"/>
    <w:rsid w:val="009C0D67"/>
    <w:rsid w:val="009F263A"/>
    <w:rsid w:val="009F4F9F"/>
    <w:rsid w:val="009F62D7"/>
    <w:rsid w:val="00A00D97"/>
    <w:rsid w:val="00A05F07"/>
    <w:rsid w:val="00A14DB8"/>
    <w:rsid w:val="00A2621C"/>
    <w:rsid w:val="00A30A54"/>
    <w:rsid w:val="00A35E18"/>
    <w:rsid w:val="00A37EE4"/>
    <w:rsid w:val="00A41A30"/>
    <w:rsid w:val="00A4370D"/>
    <w:rsid w:val="00A4667D"/>
    <w:rsid w:val="00A50B32"/>
    <w:rsid w:val="00A50BB1"/>
    <w:rsid w:val="00A5115E"/>
    <w:rsid w:val="00A552D1"/>
    <w:rsid w:val="00A56015"/>
    <w:rsid w:val="00A61134"/>
    <w:rsid w:val="00A63FEC"/>
    <w:rsid w:val="00A65EC7"/>
    <w:rsid w:val="00A70899"/>
    <w:rsid w:val="00A7451A"/>
    <w:rsid w:val="00A91803"/>
    <w:rsid w:val="00A94A00"/>
    <w:rsid w:val="00AA797D"/>
    <w:rsid w:val="00AB16CA"/>
    <w:rsid w:val="00AB28F5"/>
    <w:rsid w:val="00AB2AA9"/>
    <w:rsid w:val="00AB6AD0"/>
    <w:rsid w:val="00AB6D0F"/>
    <w:rsid w:val="00AC04BC"/>
    <w:rsid w:val="00AC37FA"/>
    <w:rsid w:val="00AC38A5"/>
    <w:rsid w:val="00AC5333"/>
    <w:rsid w:val="00AD524B"/>
    <w:rsid w:val="00AE732A"/>
    <w:rsid w:val="00AF3C8E"/>
    <w:rsid w:val="00AF7620"/>
    <w:rsid w:val="00B108B8"/>
    <w:rsid w:val="00B15082"/>
    <w:rsid w:val="00B245C2"/>
    <w:rsid w:val="00B3038D"/>
    <w:rsid w:val="00B402A5"/>
    <w:rsid w:val="00B40395"/>
    <w:rsid w:val="00B40D8A"/>
    <w:rsid w:val="00B51AA8"/>
    <w:rsid w:val="00B52ADA"/>
    <w:rsid w:val="00B62A99"/>
    <w:rsid w:val="00B63B82"/>
    <w:rsid w:val="00B6470B"/>
    <w:rsid w:val="00B76065"/>
    <w:rsid w:val="00B81863"/>
    <w:rsid w:val="00B906F6"/>
    <w:rsid w:val="00B93FDE"/>
    <w:rsid w:val="00BA131F"/>
    <w:rsid w:val="00BB0900"/>
    <w:rsid w:val="00BB66C2"/>
    <w:rsid w:val="00BC1980"/>
    <w:rsid w:val="00BC530F"/>
    <w:rsid w:val="00BC5E76"/>
    <w:rsid w:val="00BD272E"/>
    <w:rsid w:val="00BE7F7B"/>
    <w:rsid w:val="00BF3EAC"/>
    <w:rsid w:val="00BF572B"/>
    <w:rsid w:val="00C025AE"/>
    <w:rsid w:val="00C02C05"/>
    <w:rsid w:val="00C04FE4"/>
    <w:rsid w:val="00C117EE"/>
    <w:rsid w:val="00C1720A"/>
    <w:rsid w:val="00C23F87"/>
    <w:rsid w:val="00C33EC8"/>
    <w:rsid w:val="00C37252"/>
    <w:rsid w:val="00C43BC1"/>
    <w:rsid w:val="00C45D9D"/>
    <w:rsid w:val="00C46220"/>
    <w:rsid w:val="00C47565"/>
    <w:rsid w:val="00C47655"/>
    <w:rsid w:val="00C47D32"/>
    <w:rsid w:val="00C57083"/>
    <w:rsid w:val="00C636BC"/>
    <w:rsid w:val="00C65C2E"/>
    <w:rsid w:val="00C67FC3"/>
    <w:rsid w:val="00C76396"/>
    <w:rsid w:val="00C97F11"/>
    <w:rsid w:val="00CA2C42"/>
    <w:rsid w:val="00CA6157"/>
    <w:rsid w:val="00CA7807"/>
    <w:rsid w:val="00CB246F"/>
    <w:rsid w:val="00CB6F88"/>
    <w:rsid w:val="00CC1E4D"/>
    <w:rsid w:val="00CD7416"/>
    <w:rsid w:val="00CE1FCF"/>
    <w:rsid w:val="00CE7842"/>
    <w:rsid w:val="00CF0D6B"/>
    <w:rsid w:val="00CF1D2B"/>
    <w:rsid w:val="00CF2C25"/>
    <w:rsid w:val="00CF5AF2"/>
    <w:rsid w:val="00CF7495"/>
    <w:rsid w:val="00D016EA"/>
    <w:rsid w:val="00D04047"/>
    <w:rsid w:val="00D058A9"/>
    <w:rsid w:val="00D13842"/>
    <w:rsid w:val="00D15B38"/>
    <w:rsid w:val="00D21CC7"/>
    <w:rsid w:val="00D2245B"/>
    <w:rsid w:val="00D26634"/>
    <w:rsid w:val="00D26B15"/>
    <w:rsid w:val="00D32568"/>
    <w:rsid w:val="00D360A7"/>
    <w:rsid w:val="00D425A6"/>
    <w:rsid w:val="00D53FEE"/>
    <w:rsid w:val="00D54EE6"/>
    <w:rsid w:val="00D60555"/>
    <w:rsid w:val="00D61548"/>
    <w:rsid w:val="00D6337C"/>
    <w:rsid w:val="00D678A2"/>
    <w:rsid w:val="00D85066"/>
    <w:rsid w:val="00D90AD1"/>
    <w:rsid w:val="00D94BA4"/>
    <w:rsid w:val="00D9706B"/>
    <w:rsid w:val="00DA4B55"/>
    <w:rsid w:val="00DB3B55"/>
    <w:rsid w:val="00DB54E9"/>
    <w:rsid w:val="00DB68F4"/>
    <w:rsid w:val="00DC264F"/>
    <w:rsid w:val="00DC2674"/>
    <w:rsid w:val="00DC2FD7"/>
    <w:rsid w:val="00DC7560"/>
    <w:rsid w:val="00E02AAC"/>
    <w:rsid w:val="00E06A3C"/>
    <w:rsid w:val="00E13CB4"/>
    <w:rsid w:val="00E171D9"/>
    <w:rsid w:val="00E22D83"/>
    <w:rsid w:val="00E41DD7"/>
    <w:rsid w:val="00E45D03"/>
    <w:rsid w:val="00E47E1A"/>
    <w:rsid w:val="00E64BCC"/>
    <w:rsid w:val="00E65AE9"/>
    <w:rsid w:val="00E72418"/>
    <w:rsid w:val="00E73B19"/>
    <w:rsid w:val="00E7477A"/>
    <w:rsid w:val="00E77088"/>
    <w:rsid w:val="00E925AD"/>
    <w:rsid w:val="00E954D0"/>
    <w:rsid w:val="00EA3929"/>
    <w:rsid w:val="00EA4DA0"/>
    <w:rsid w:val="00EA54C0"/>
    <w:rsid w:val="00EB1816"/>
    <w:rsid w:val="00EB2507"/>
    <w:rsid w:val="00EB6385"/>
    <w:rsid w:val="00ED2FDB"/>
    <w:rsid w:val="00ED5E25"/>
    <w:rsid w:val="00EE2FD2"/>
    <w:rsid w:val="00EE6345"/>
    <w:rsid w:val="00EF2EC9"/>
    <w:rsid w:val="00EF59D2"/>
    <w:rsid w:val="00F212A8"/>
    <w:rsid w:val="00F27EDF"/>
    <w:rsid w:val="00F30DC7"/>
    <w:rsid w:val="00F34438"/>
    <w:rsid w:val="00F35987"/>
    <w:rsid w:val="00F367DA"/>
    <w:rsid w:val="00F36818"/>
    <w:rsid w:val="00F42A78"/>
    <w:rsid w:val="00F44997"/>
    <w:rsid w:val="00F47D61"/>
    <w:rsid w:val="00F56F86"/>
    <w:rsid w:val="00F5760F"/>
    <w:rsid w:val="00F600A2"/>
    <w:rsid w:val="00F640AF"/>
    <w:rsid w:val="00F64CAD"/>
    <w:rsid w:val="00F64F59"/>
    <w:rsid w:val="00F66AC9"/>
    <w:rsid w:val="00F66EF7"/>
    <w:rsid w:val="00F83E6F"/>
    <w:rsid w:val="00F94FFB"/>
    <w:rsid w:val="00F96BAE"/>
    <w:rsid w:val="00FA03AD"/>
    <w:rsid w:val="00FA0BED"/>
    <w:rsid w:val="00FA5DAE"/>
    <w:rsid w:val="00FB79C6"/>
    <w:rsid w:val="00FC233C"/>
    <w:rsid w:val="00FC2FF0"/>
    <w:rsid w:val="00FC674A"/>
    <w:rsid w:val="00FD2CA7"/>
    <w:rsid w:val="00FD3518"/>
    <w:rsid w:val="00FD5654"/>
    <w:rsid w:val="00FE4936"/>
    <w:rsid w:val="00FE49AE"/>
    <w:rsid w:val="00FE5742"/>
    <w:rsid w:val="00FF15FC"/>
    <w:rsid w:val="00FF68B2"/>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631336"/>
  <w15:chartTrackingRefBased/>
  <w15:docId w15:val="{EE88C777-B195-420D-ABFB-57723072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290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results-line2">
    <w:name w:val="results-line2"/>
    <w:basedOn w:val="DefaultParagraphFont"/>
    <w:rsid w:val="007C2900"/>
  </w:style>
  <w:style w:type="character" w:customStyle="1" w:styleId="italics">
    <w:name w:val="italics"/>
    <w:basedOn w:val="DefaultParagraphFont"/>
    <w:rsid w:val="007C2900"/>
  </w:style>
  <w:style w:type="character" w:styleId="Hyperlink">
    <w:name w:val="Hyperlink"/>
    <w:uiPriority w:val="99"/>
    <w:rsid w:val="007C2900"/>
    <w:rPr>
      <w:color w:val="0000FF"/>
      <w:u w:val="single"/>
    </w:rPr>
  </w:style>
  <w:style w:type="table" w:styleId="TableGrid">
    <w:name w:val="Table Grid"/>
    <w:basedOn w:val="TableNormal"/>
    <w:rsid w:val="007C2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C2900"/>
    <w:rPr>
      <w:color w:val="800080"/>
      <w:u w:val="single"/>
    </w:rPr>
  </w:style>
  <w:style w:type="paragraph" w:styleId="Header">
    <w:name w:val="header"/>
    <w:basedOn w:val="Normal"/>
    <w:link w:val="HeaderChar"/>
    <w:uiPriority w:val="99"/>
    <w:rsid w:val="00FE4936"/>
    <w:pPr>
      <w:tabs>
        <w:tab w:val="center" w:pos="4320"/>
        <w:tab w:val="right" w:pos="8640"/>
      </w:tabs>
    </w:pPr>
  </w:style>
  <w:style w:type="paragraph" w:styleId="Footer">
    <w:name w:val="footer"/>
    <w:basedOn w:val="Normal"/>
    <w:rsid w:val="00FE4936"/>
    <w:pPr>
      <w:tabs>
        <w:tab w:val="center" w:pos="4320"/>
        <w:tab w:val="right" w:pos="8640"/>
      </w:tabs>
    </w:pPr>
  </w:style>
  <w:style w:type="character" w:styleId="PageNumber">
    <w:name w:val="page number"/>
    <w:basedOn w:val="DefaultParagraphFont"/>
    <w:rsid w:val="00FE4936"/>
  </w:style>
  <w:style w:type="character" w:styleId="CommentReference">
    <w:name w:val="annotation reference"/>
    <w:rsid w:val="00894FB1"/>
    <w:rPr>
      <w:sz w:val="16"/>
      <w:szCs w:val="16"/>
    </w:rPr>
  </w:style>
  <w:style w:type="paragraph" w:styleId="CommentText">
    <w:name w:val="annotation text"/>
    <w:basedOn w:val="Normal"/>
    <w:link w:val="CommentTextChar"/>
    <w:rsid w:val="00894FB1"/>
    <w:rPr>
      <w:sz w:val="20"/>
      <w:szCs w:val="20"/>
    </w:rPr>
  </w:style>
  <w:style w:type="character" w:customStyle="1" w:styleId="CommentTextChar">
    <w:name w:val="Comment Text Char"/>
    <w:basedOn w:val="DefaultParagraphFont"/>
    <w:link w:val="CommentText"/>
    <w:rsid w:val="00894FB1"/>
  </w:style>
  <w:style w:type="paragraph" w:styleId="CommentSubject">
    <w:name w:val="annotation subject"/>
    <w:basedOn w:val="CommentText"/>
    <w:next w:val="CommentText"/>
    <w:link w:val="CommentSubjectChar"/>
    <w:rsid w:val="00894FB1"/>
    <w:rPr>
      <w:b/>
      <w:bCs/>
    </w:rPr>
  </w:style>
  <w:style w:type="character" w:customStyle="1" w:styleId="CommentSubjectChar">
    <w:name w:val="Comment Subject Char"/>
    <w:link w:val="CommentSubject"/>
    <w:rsid w:val="00894FB1"/>
    <w:rPr>
      <w:b/>
      <w:bCs/>
    </w:rPr>
  </w:style>
  <w:style w:type="paragraph" w:styleId="BalloonText">
    <w:name w:val="Balloon Text"/>
    <w:basedOn w:val="Normal"/>
    <w:link w:val="BalloonTextChar"/>
    <w:rsid w:val="00894FB1"/>
    <w:rPr>
      <w:rFonts w:ascii="Tahoma" w:hAnsi="Tahoma" w:cs="Tahoma"/>
      <w:sz w:val="16"/>
      <w:szCs w:val="16"/>
    </w:rPr>
  </w:style>
  <w:style w:type="character" w:customStyle="1" w:styleId="BalloonTextChar">
    <w:name w:val="Balloon Text Char"/>
    <w:link w:val="BalloonText"/>
    <w:rsid w:val="00894FB1"/>
    <w:rPr>
      <w:rFonts w:ascii="Tahoma" w:hAnsi="Tahoma" w:cs="Tahoma"/>
      <w:sz w:val="16"/>
      <w:szCs w:val="16"/>
    </w:rPr>
  </w:style>
  <w:style w:type="character" w:customStyle="1" w:styleId="apple-converted-space">
    <w:name w:val="apple-converted-space"/>
    <w:rsid w:val="00C37252"/>
  </w:style>
  <w:style w:type="paragraph" w:styleId="HTMLPreformatted">
    <w:name w:val="HTML Preformatted"/>
    <w:basedOn w:val="Normal"/>
    <w:link w:val="HTMLPreformattedChar"/>
    <w:uiPriority w:val="99"/>
    <w:unhideWhenUsed/>
    <w:rsid w:val="000B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674F"/>
    <w:rPr>
      <w:rFonts w:ascii="Courier New" w:hAnsi="Courier New" w:cs="Courier New"/>
    </w:rPr>
  </w:style>
  <w:style w:type="character" w:customStyle="1" w:styleId="HeaderChar">
    <w:name w:val="Header Char"/>
    <w:link w:val="Header"/>
    <w:uiPriority w:val="99"/>
    <w:rsid w:val="00B24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642">
      <w:bodyDiv w:val="1"/>
      <w:marLeft w:val="0"/>
      <w:marRight w:val="0"/>
      <w:marTop w:val="0"/>
      <w:marBottom w:val="0"/>
      <w:divBdr>
        <w:top w:val="none" w:sz="0" w:space="0" w:color="auto"/>
        <w:left w:val="none" w:sz="0" w:space="0" w:color="auto"/>
        <w:bottom w:val="none" w:sz="0" w:space="0" w:color="auto"/>
        <w:right w:val="none" w:sz="0" w:space="0" w:color="auto"/>
      </w:divBdr>
    </w:div>
    <w:div w:id="132066098">
      <w:bodyDiv w:val="1"/>
      <w:marLeft w:val="0"/>
      <w:marRight w:val="0"/>
      <w:marTop w:val="0"/>
      <w:marBottom w:val="0"/>
      <w:divBdr>
        <w:top w:val="none" w:sz="0" w:space="0" w:color="auto"/>
        <w:left w:val="none" w:sz="0" w:space="0" w:color="auto"/>
        <w:bottom w:val="none" w:sz="0" w:space="0" w:color="auto"/>
        <w:right w:val="none" w:sz="0" w:space="0" w:color="auto"/>
      </w:divBdr>
      <w:divsChild>
        <w:div w:id="32579307">
          <w:marLeft w:val="0"/>
          <w:marRight w:val="0"/>
          <w:marTop w:val="0"/>
          <w:marBottom w:val="0"/>
          <w:divBdr>
            <w:top w:val="none" w:sz="0" w:space="0" w:color="auto"/>
            <w:left w:val="none" w:sz="0" w:space="0" w:color="auto"/>
            <w:bottom w:val="none" w:sz="0" w:space="0" w:color="auto"/>
            <w:right w:val="none" w:sz="0" w:space="0" w:color="auto"/>
          </w:divBdr>
        </w:div>
        <w:div w:id="36857456">
          <w:marLeft w:val="0"/>
          <w:marRight w:val="0"/>
          <w:marTop w:val="0"/>
          <w:marBottom w:val="0"/>
          <w:divBdr>
            <w:top w:val="none" w:sz="0" w:space="0" w:color="auto"/>
            <w:left w:val="none" w:sz="0" w:space="0" w:color="auto"/>
            <w:bottom w:val="none" w:sz="0" w:space="0" w:color="auto"/>
            <w:right w:val="none" w:sz="0" w:space="0" w:color="auto"/>
          </w:divBdr>
        </w:div>
        <w:div w:id="44909890">
          <w:marLeft w:val="0"/>
          <w:marRight w:val="0"/>
          <w:marTop w:val="0"/>
          <w:marBottom w:val="0"/>
          <w:divBdr>
            <w:top w:val="none" w:sz="0" w:space="0" w:color="auto"/>
            <w:left w:val="none" w:sz="0" w:space="0" w:color="auto"/>
            <w:bottom w:val="none" w:sz="0" w:space="0" w:color="auto"/>
            <w:right w:val="none" w:sz="0" w:space="0" w:color="auto"/>
          </w:divBdr>
        </w:div>
        <w:div w:id="65884471">
          <w:marLeft w:val="0"/>
          <w:marRight w:val="0"/>
          <w:marTop w:val="0"/>
          <w:marBottom w:val="0"/>
          <w:divBdr>
            <w:top w:val="none" w:sz="0" w:space="0" w:color="auto"/>
            <w:left w:val="none" w:sz="0" w:space="0" w:color="auto"/>
            <w:bottom w:val="none" w:sz="0" w:space="0" w:color="auto"/>
            <w:right w:val="none" w:sz="0" w:space="0" w:color="auto"/>
          </w:divBdr>
        </w:div>
        <w:div w:id="135882574">
          <w:marLeft w:val="0"/>
          <w:marRight w:val="0"/>
          <w:marTop w:val="0"/>
          <w:marBottom w:val="0"/>
          <w:divBdr>
            <w:top w:val="none" w:sz="0" w:space="0" w:color="auto"/>
            <w:left w:val="none" w:sz="0" w:space="0" w:color="auto"/>
            <w:bottom w:val="none" w:sz="0" w:space="0" w:color="auto"/>
            <w:right w:val="none" w:sz="0" w:space="0" w:color="auto"/>
          </w:divBdr>
        </w:div>
        <w:div w:id="247272598">
          <w:marLeft w:val="0"/>
          <w:marRight w:val="0"/>
          <w:marTop w:val="0"/>
          <w:marBottom w:val="0"/>
          <w:divBdr>
            <w:top w:val="none" w:sz="0" w:space="0" w:color="auto"/>
            <w:left w:val="none" w:sz="0" w:space="0" w:color="auto"/>
            <w:bottom w:val="none" w:sz="0" w:space="0" w:color="auto"/>
            <w:right w:val="none" w:sz="0" w:space="0" w:color="auto"/>
          </w:divBdr>
        </w:div>
        <w:div w:id="316302325">
          <w:marLeft w:val="0"/>
          <w:marRight w:val="0"/>
          <w:marTop w:val="0"/>
          <w:marBottom w:val="0"/>
          <w:divBdr>
            <w:top w:val="none" w:sz="0" w:space="0" w:color="auto"/>
            <w:left w:val="none" w:sz="0" w:space="0" w:color="auto"/>
            <w:bottom w:val="none" w:sz="0" w:space="0" w:color="auto"/>
            <w:right w:val="none" w:sz="0" w:space="0" w:color="auto"/>
          </w:divBdr>
        </w:div>
        <w:div w:id="319816850">
          <w:marLeft w:val="0"/>
          <w:marRight w:val="0"/>
          <w:marTop w:val="0"/>
          <w:marBottom w:val="0"/>
          <w:divBdr>
            <w:top w:val="none" w:sz="0" w:space="0" w:color="auto"/>
            <w:left w:val="none" w:sz="0" w:space="0" w:color="auto"/>
            <w:bottom w:val="none" w:sz="0" w:space="0" w:color="auto"/>
            <w:right w:val="none" w:sz="0" w:space="0" w:color="auto"/>
          </w:divBdr>
        </w:div>
        <w:div w:id="376517165">
          <w:marLeft w:val="0"/>
          <w:marRight w:val="0"/>
          <w:marTop w:val="0"/>
          <w:marBottom w:val="0"/>
          <w:divBdr>
            <w:top w:val="none" w:sz="0" w:space="0" w:color="auto"/>
            <w:left w:val="none" w:sz="0" w:space="0" w:color="auto"/>
            <w:bottom w:val="none" w:sz="0" w:space="0" w:color="auto"/>
            <w:right w:val="none" w:sz="0" w:space="0" w:color="auto"/>
          </w:divBdr>
        </w:div>
        <w:div w:id="399446933">
          <w:marLeft w:val="0"/>
          <w:marRight w:val="0"/>
          <w:marTop w:val="0"/>
          <w:marBottom w:val="0"/>
          <w:divBdr>
            <w:top w:val="none" w:sz="0" w:space="0" w:color="auto"/>
            <w:left w:val="none" w:sz="0" w:space="0" w:color="auto"/>
            <w:bottom w:val="none" w:sz="0" w:space="0" w:color="auto"/>
            <w:right w:val="none" w:sz="0" w:space="0" w:color="auto"/>
          </w:divBdr>
        </w:div>
        <w:div w:id="532157394">
          <w:marLeft w:val="0"/>
          <w:marRight w:val="0"/>
          <w:marTop w:val="0"/>
          <w:marBottom w:val="0"/>
          <w:divBdr>
            <w:top w:val="none" w:sz="0" w:space="0" w:color="auto"/>
            <w:left w:val="none" w:sz="0" w:space="0" w:color="auto"/>
            <w:bottom w:val="none" w:sz="0" w:space="0" w:color="auto"/>
            <w:right w:val="none" w:sz="0" w:space="0" w:color="auto"/>
          </w:divBdr>
        </w:div>
        <w:div w:id="604314961">
          <w:marLeft w:val="0"/>
          <w:marRight w:val="0"/>
          <w:marTop w:val="0"/>
          <w:marBottom w:val="0"/>
          <w:divBdr>
            <w:top w:val="none" w:sz="0" w:space="0" w:color="auto"/>
            <w:left w:val="none" w:sz="0" w:space="0" w:color="auto"/>
            <w:bottom w:val="none" w:sz="0" w:space="0" w:color="auto"/>
            <w:right w:val="none" w:sz="0" w:space="0" w:color="auto"/>
          </w:divBdr>
        </w:div>
        <w:div w:id="629938364">
          <w:marLeft w:val="0"/>
          <w:marRight w:val="0"/>
          <w:marTop w:val="0"/>
          <w:marBottom w:val="0"/>
          <w:divBdr>
            <w:top w:val="none" w:sz="0" w:space="0" w:color="auto"/>
            <w:left w:val="none" w:sz="0" w:space="0" w:color="auto"/>
            <w:bottom w:val="none" w:sz="0" w:space="0" w:color="auto"/>
            <w:right w:val="none" w:sz="0" w:space="0" w:color="auto"/>
          </w:divBdr>
        </w:div>
        <w:div w:id="842549507">
          <w:marLeft w:val="0"/>
          <w:marRight w:val="0"/>
          <w:marTop w:val="0"/>
          <w:marBottom w:val="0"/>
          <w:divBdr>
            <w:top w:val="none" w:sz="0" w:space="0" w:color="auto"/>
            <w:left w:val="none" w:sz="0" w:space="0" w:color="auto"/>
            <w:bottom w:val="none" w:sz="0" w:space="0" w:color="auto"/>
            <w:right w:val="none" w:sz="0" w:space="0" w:color="auto"/>
          </w:divBdr>
        </w:div>
        <w:div w:id="973752978">
          <w:marLeft w:val="0"/>
          <w:marRight w:val="0"/>
          <w:marTop w:val="0"/>
          <w:marBottom w:val="0"/>
          <w:divBdr>
            <w:top w:val="none" w:sz="0" w:space="0" w:color="auto"/>
            <w:left w:val="none" w:sz="0" w:space="0" w:color="auto"/>
            <w:bottom w:val="none" w:sz="0" w:space="0" w:color="auto"/>
            <w:right w:val="none" w:sz="0" w:space="0" w:color="auto"/>
          </w:divBdr>
        </w:div>
        <w:div w:id="1048190076">
          <w:marLeft w:val="0"/>
          <w:marRight w:val="0"/>
          <w:marTop w:val="0"/>
          <w:marBottom w:val="0"/>
          <w:divBdr>
            <w:top w:val="none" w:sz="0" w:space="0" w:color="auto"/>
            <w:left w:val="none" w:sz="0" w:space="0" w:color="auto"/>
            <w:bottom w:val="none" w:sz="0" w:space="0" w:color="auto"/>
            <w:right w:val="none" w:sz="0" w:space="0" w:color="auto"/>
          </w:divBdr>
        </w:div>
        <w:div w:id="1066610818">
          <w:marLeft w:val="0"/>
          <w:marRight w:val="0"/>
          <w:marTop w:val="0"/>
          <w:marBottom w:val="0"/>
          <w:divBdr>
            <w:top w:val="none" w:sz="0" w:space="0" w:color="auto"/>
            <w:left w:val="none" w:sz="0" w:space="0" w:color="auto"/>
            <w:bottom w:val="none" w:sz="0" w:space="0" w:color="auto"/>
            <w:right w:val="none" w:sz="0" w:space="0" w:color="auto"/>
          </w:divBdr>
        </w:div>
        <w:div w:id="1134061310">
          <w:marLeft w:val="0"/>
          <w:marRight w:val="0"/>
          <w:marTop w:val="0"/>
          <w:marBottom w:val="0"/>
          <w:divBdr>
            <w:top w:val="none" w:sz="0" w:space="0" w:color="auto"/>
            <w:left w:val="none" w:sz="0" w:space="0" w:color="auto"/>
            <w:bottom w:val="none" w:sz="0" w:space="0" w:color="auto"/>
            <w:right w:val="none" w:sz="0" w:space="0" w:color="auto"/>
          </w:divBdr>
        </w:div>
        <w:div w:id="1152797901">
          <w:marLeft w:val="0"/>
          <w:marRight w:val="0"/>
          <w:marTop w:val="0"/>
          <w:marBottom w:val="0"/>
          <w:divBdr>
            <w:top w:val="none" w:sz="0" w:space="0" w:color="auto"/>
            <w:left w:val="none" w:sz="0" w:space="0" w:color="auto"/>
            <w:bottom w:val="none" w:sz="0" w:space="0" w:color="auto"/>
            <w:right w:val="none" w:sz="0" w:space="0" w:color="auto"/>
          </w:divBdr>
        </w:div>
        <w:div w:id="1191259236">
          <w:marLeft w:val="0"/>
          <w:marRight w:val="0"/>
          <w:marTop w:val="0"/>
          <w:marBottom w:val="0"/>
          <w:divBdr>
            <w:top w:val="none" w:sz="0" w:space="0" w:color="auto"/>
            <w:left w:val="none" w:sz="0" w:space="0" w:color="auto"/>
            <w:bottom w:val="none" w:sz="0" w:space="0" w:color="auto"/>
            <w:right w:val="none" w:sz="0" w:space="0" w:color="auto"/>
          </w:divBdr>
        </w:div>
        <w:div w:id="1210342709">
          <w:marLeft w:val="0"/>
          <w:marRight w:val="0"/>
          <w:marTop w:val="0"/>
          <w:marBottom w:val="0"/>
          <w:divBdr>
            <w:top w:val="none" w:sz="0" w:space="0" w:color="auto"/>
            <w:left w:val="none" w:sz="0" w:space="0" w:color="auto"/>
            <w:bottom w:val="none" w:sz="0" w:space="0" w:color="auto"/>
            <w:right w:val="none" w:sz="0" w:space="0" w:color="auto"/>
          </w:divBdr>
        </w:div>
        <w:div w:id="1313683636">
          <w:marLeft w:val="0"/>
          <w:marRight w:val="0"/>
          <w:marTop w:val="0"/>
          <w:marBottom w:val="0"/>
          <w:divBdr>
            <w:top w:val="none" w:sz="0" w:space="0" w:color="auto"/>
            <w:left w:val="none" w:sz="0" w:space="0" w:color="auto"/>
            <w:bottom w:val="none" w:sz="0" w:space="0" w:color="auto"/>
            <w:right w:val="none" w:sz="0" w:space="0" w:color="auto"/>
          </w:divBdr>
        </w:div>
        <w:div w:id="1319577547">
          <w:marLeft w:val="0"/>
          <w:marRight w:val="0"/>
          <w:marTop w:val="0"/>
          <w:marBottom w:val="0"/>
          <w:divBdr>
            <w:top w:val="none" w:sz="0" w:space="0" w:color="auto"/>
            <w:left w:val="none" w:sz="0" w:space="0" w:color="auto"/>
            <w:bottom w:val="none" w:sz="0" w:space="0" w:color="auto"/>
            <w:right w:val="none" w:sz="0" w:space="0" w:color="auto"/>
          </w:divBdr>
        </w:div>
        <w:div w:id="1321153716">
          <w:marLeft w:val="0"/>
          <w:marRight w:val="0"/>
          <w:marTop w:val="0"/>
          <w:marBottom w:val="0"/>
          <w:divBdr>
            <w:top w:val="none" w:sz="0" w:space="0" w:color="auto"/>
            <w:left w:val="none" w:sz="0" w:space="0" w:color="auto"/>
            <w:bottom w:val="none" w:sz="0" w:space="0" w:color="auto"/>
            <w:right w:val="none" w:sz="0" w:space="0" w:color="auto"/>
          </w:divBdr>
        </w:div>
        <w:div w:id="1355498774">
          <w:marLeft w:val="0"/>
          <w:marRight w:val="0"/>
          <w:marTop w:val="0"/>
          <w:marBottom w:val="0"/>
          <w:divBdr>
            <w:top w:val="none" w:sz="0" w:space="0" w:color="auto"/>
            <w:left w:val="none" w:sz="0" w:space="0" w:color="auto"/>
            <w:bottom w:val="none" w:sz="0" w:space="0" w:color="auto"/>
            <w:right w:val="none" w:sz="0" w:space="0" w:color="auto"/>
          </w:divBdr>
        </w:div>
        <w:div w:id="1396199555">
          <w:marLeft w:val="0"/>
          <w:marRight w:val="0"/>
          <w:marTop w:val="0"/>
          <w:marBottom w:val="0"/>
          <w:divBdr>
            <w:top w:val="none" w:sz="0" w:space="0" w:color="auto"/>
            <w:left w:val="none" w:sz="0" w:space="0" w:color="auto"/>
            <w:bottom w:val="none" w:sz="0" w:space="0" w:color="auto"/>
            <w:right w:val="none" w:sz="0" w:space="0" w:color="auto"/>
          </w:divBdr>
        </w:div>
        <w:div w:id="1624120086">
          <w:marLeft w:val="0"/>
          <w:marRight w:val="0"/>
          <w:marTop w:val="0"/>
          <w:marBottom w:val="0"/>
          <w:divBdr>
            <w:top w:val="none" w:sz="0" w:space="0" w:color="auto"/>
            <w:left w:val="none" w:sz="0" w:space="0" w:color="auto"/>
            <w:bottom w:val="none" w:sz="0" w:space="0" w:color="auto"/>
            <w:right w:val="none" w:sz="0" w:space="0" w:color="auto"/>
          </w:divBdr>
        </w:div>
        <w:div w:id="1651591198">
          <w:marLeft w:val="0"/>
          <w:marRight w:val="0"/>
          <w:marTop w:val="0"/>
          <w:marBottom w:val="0"/>
          <w:divBdr>
            <w:top w:val="none" w:sz="0" w:space="0" w:color="auto"/>
            <w:left w:val="none" w:sz="0" w:space="0" w:color="auto"/>
            <w:bottom w:val="none" w:sz="0" w:space="0" w:color="auto"/>
            <w:right w:val="none" w:sz="0" w:space="0" w:color="auto"/>
          </w:divBdr>
        </w:div>
        <w:div w:id="1698852165">
          <w:marLeft w:val="0"/>
          <w:marRight w:val="0"/>
          <w:marTop w:val="0"/>
          <w:marBottom w:val="0"/>
          <w:divBdr>
            <w:top w:val="none" w:sz="0" w:space="0" w:color="auto"/>
            <w:left w:val="none" w:sz="0" w:space="0" w:color="auto"/>
            <w:bottom w:val="none" w:sz="0" w:space="0" w:color="auto"/>
            <w:right w:val="none" w:sz="0" w:space="0" w:color="auto"/>
          </w:divBdr>
        </w:div>
        <w:div w:id="1718429109">
          <w:marLeft w:val="0"/>
          <w:marRight w:val="0"/>
          <w:marTop w:val="0"/>
          <w:marBottom w:val="0"/>
          <w:divBdr>
            <w:top w:val="none" w:sz="0" w:space="0" w:color="auto"/>
            <w:left w:val="none" w:sz="0" w:space="0" w:color="auto"/>
            <w:bottom w:val="none" w:sz="0" w:space="0" w:color="auto"/>
            <w:right w:val="none" w:sz="0" w:space="0" w:color="auto"/>
          </w:divBdr>
        </w:div>
        <w:div w:id="1836723437">
          <w:marLeft w:val="0"/>
          <w:marRight w:val="0"/>
          <w:marTop w:val="0"/>
          <w:marBottom w:val="0"/>
          <w:divBdr>
            <w:top w:val="none" w:sz="0" w:space="0" w:color="auto"/>
            <w:left w:val="none" w:sz="0" w:space="0" w:color="auto"/>
            <w:bottom w:val="none" w:sz="0" w:space="0" w:color="auto"/>
            <w:right w:val="none" w:sz="0" w:space="0" w:color="auto"/>
          </w:divBdr>
        </w:div>
        <w:div w:id="1923443689">
          <w:marLeft w:val="0"/>
          <w:marRight w:val="0"/>
          <w:marTop w:val="0"/>
          <w:marBottom w:val="0"/>
          <w:divBdr>
            <w:top w:val="none" w:sz="0" w:space="0" w:color="auto"/>
            <w:left w:val="none" w:sz="0" w:space="0" w:color="auto"/>
            <w:bottom w:val="none" w:sz="0" w:space="0" w:color="auto"/>
            <w:right w:val="none" w:sz="0" w:space="0" w:color="auto"/>
          </w:divBdr>
        </w:div>
        <w:div w:id="1924726831">
          <w:marLeft w:val="0"/>
          <w:marRight w:val="0"/>
          <w:marTop w:val="0"/>
          <w:marBottom w:val="0"/>
          <w:divBdr>
            <w:top w:val="none" w:sz="0" w:space="0" w:color="auto"/>
            <w:left w:val="none" w:sz="0" w:space="0" w:color="auto"/>
            <w:bottom w:val="none" w:sz="0" w:space="0" w:color="auto"/>
            <w:right w:val="none" w:sz="0" w:space="0" w:color="auto"/>
          </w:divBdr>
        </w:div>
        <w:div w:id="1939823829">
          <w:marLeft w:val="0"/>
          <w:marRight w:val="0"/>
          <w:marTop w:val="0"/>
          <w:marBottom w:val="0"/>
          <w:divBdr>
            <w:top w:val="none" w:sz="0" w:space="0" w:color="auto"/>
            <w:left w:val="none" w:sz="0" w:space="0" w:color="auto"/>
            <w:bottom w:val="none" w:sz="0" w:space="0" w:color="auto"/>
            <w:right w:val="none" w:sz="0" w:space="0" w:color="auto"/>
          </w:divBdr>
        </w:div>
        <w:div w:id="1996371284">
          <w:marLeft w:val="0"/>
          <w:marRight w:val="0"/>
          <w:marTop w:val="0"/>
          <w:marBottom w:val="0"/>
          <w:divBdr>
            <w:top w:val="none" w:sz="0" w:space="0" w:color="auto"/>
            <w:left w:val="none" w:sz="0" w:space="0" w:color="auto"/>
            <w:bottom w:val="none" w:sz="0" w:space="0" w:color="auto"/>
            <w:right w:val="none" w:sz="0" w:space="0" w:color="auto"/>
          </w:divBdr>
        </w:div>
        <w:div w:id="2013138915">
          <w:marLeft w:val="0"/>
          <w:marRight w:val="0"/>
          <w:marTop w:val="0"/>
          <w:marBottom w:val="0"/>
          <w:divBdr>
            <w:top w:val="none" w:sz="0" w:space="0" w:color="auto"/>
            <w:left w:val="none" w:sz="0" w:space="0" w:color="auto"/>
            <w:bottom w:val="none" w:sz="0" w:space="0" w:color="auto"/>
            <w:right w:val="none" w:sz="0" w:space="0" w:color="auto"/>
          </w:divBdr>
        </w:div>
        <w:div w:id="2018076452">
          <w:marLeft w:val="0"/>
          <w:marRight w:val="0"/>
          <w:marTop w:val="0"/>
          <w:marBottom w:val="0"/>
          <w:divBdr>
            <w:top w:val="none" w:sz="0" w:space="0" w:color="auto"/>
            <w:left w:val="none" w:sz="0" w:space="0" w:color="auto"/>
            <w:bottom w:val="none" w:sz="0" w:space="0" w:color="auto"/>
            <w:right w:val="none" w:sz="0" w:space="0" w:color="auto"/>
          </w:divBdr>
        </w:div>
        <w:div w:id="2019381817">
          <w:marLeft w:val="0"/>
          <w:marRight w:val="0"/>
          <w:marTop w:val="0"/>
          <w:marBottom w:val="0"/>
          <w:divBdr>
            <w:top w:val="none" w:sz="0" w:space="0" w:color="auto"/>
            <w:left w:val="none" w:sz="0" w:space="0" w:color="auto"/>
            <w:bottom w:val="none" w:sz="0" w:space="0" w:color="auto"/>
            <w:right w:val="none" w:sz="0" w:space="0" w:color="auto"/>
          </w:divBdr>
        </w:div>
        <w:div w:id="2091080098">
          <w:marLeft w:val="0"/>
          <w:marRight w:val="0"/>
          <w:marTop w:val="0"/>
          <w:marBottom w:val="0"/>
          <w:divBdr>
            <w:top w:val="none" w:sz="0" w:space="0" w:color="auto"/>
            <w:left w:val="none" w:sz="0" w:space="0" w:color="auto"/>
            <w:bottom w:val="none" w:sz="0" w:space="0" w:color="auto"/>
            <w:right w:val="none" w:sz="0" w:space="0" w:color="auto"/>
          </w:divBdr>
        </w:div>
      </w:divsChild>
    </w:div>
    <w:div w:id="139617256">
      <w:bodyDiv w:val="1"/>
      <w:marLeft w:val="0"/>
      <w:marRight w:val="0"/>
      <w:marTop w:val="0"/>
      <w:marBottom w:val="0"/>
      <w:divBdr>
        <w:top w:val="none" w:sz="0" w:space="0" w:color="auto"/>
        <w:left w:val="none" w:sz="0" w:space="0" w:color="auto"/>
        <w:bottom w:val="none" w:sz="0" w:space="0" w:color="auto"/>
        <w:right w:val="none" w:sz="0" w:space="0" w:color="auto"/>
      </w:divBdr>
      <w:divsChild>
        <w:div w:id="1552960211">
          <w:marLeft w:val="0"/>
          <w:marRight w:val="0"/>
          <w:marTop w:val="0"/>
          <w:marBottom w:val="0"/>
          <w:divBdr>
            <w:top w:val="none" w:sz="0" w:space="0" w:color="auto"/>
            <w:left w:val="none" w:sz="0" w:space="0" w:color="auto"/>
            <w:bottom w:val="none" w:sz="0" w:space="0" w:color="auto"/>
            <w:right w:val="none" w:sz="0" w:space="0" w:color="auto"/>
          </w:divBdr>
        </w:div>
      </w:divsChild>
    </w:div>
    <w:div w:id="379211187">
      <w:bodyDiv w:val="1"/>
      <w:marLeft w:val="0"/>
      <w:marRight w:val="0"/>
      <w:marTop w:val="0"/>
      <w:marBottom w:val="0"/>
      <w:divBdr>
        <w:top w:val="none" w:sz="0" w:space="0" w:color="auto"/>
        <w:left w:val="none" w:sz="0" w:space="0" w:color="auto"/>
        <w:bottom w:val="none" w:sz="0" w:space="0" w:color="auto"/>
        <w:right w:val="none" w:sz="0" w:space="0" w:color="auto"/>
      </w:divBdr>
    </w:div>
    <w:div w:id="511841812">
      <w:bodyDiv w:val="1"/>
      <w:marLeft w:val="0"/>
      <w:marRight w:val="0"/>
      <w:marTop w:val="0"/>
      <w:marBottom w:val="0"/>
      <w:divBdr>
        <w:top w:val="none" w:sz="0" w:space="0" w:color="auto"/>
        <w:left w:val="none" w:sz="0" w:space="0" w:color="auto"/>
        <w:bottom w:val="none" w:sz="0" w:space="0" w:color="auto"/>
        <w:right w:val="none" w:sz="0" w:space="0" w:color="auto"/>
      </w:divBdr>
    </w:div>
    <w:div w:id="631063312">
      <w:bodyDiv w:val="1"/>
      <w:marLeft w:val="0"/>
      <w:marRight w:val="0"/>
      <w:marTop w:val="0"/>
      <w:marBottom w:val="0"/>
      <w:divBdr>
        <w:top w:val="none" w:sz="0" w:space="0" w:color="auto"/>
        <w:left w:val="none" w:sz="0" w:space="0" w:color="auto"/>
        <w:bottom w:val="none" w:sz="0" w:space="0" w:color="auto"/>
        <w:right w:val="none" w:sz="0" w:space="0" w:color="auto"/>
      </w:divBdr>
    </w:div>
    <w:div w:id="809175560">
      <w:bodyDiv w:val="1"/>
      <w:marLeft w:val="0"/>
      <w:marRight w:val="0"/>
      <w:marTop w:val="0"/>
      <w:marBottom w:val="0"/>
      <w:divBdr>
        <w:top w:val="none" w:sz="0" w:space="0" w:color="auto"/>
        <w:left w:val="none" w:sz="0" w:space="0" w:color="auto"/>
        <w:bottom w:val="none" w:sz="0" w:space="0" w:color="auto"/>
        <w:right w:val="none" w:sz="0" w:space="0" w:color="auto"/>
      </w:divBdr>
    </w:div>
    <w:div w:id="897016822">
      <w:bodyDiv w:val="1"/>
      <w:marLeft w:val="0"/>
      <w:marRight w:val="0"/>
      <w:marTop w:val="0"/>
      <w:marBottom w:val="0"/>
      <w:divBdr>
        <w:top w:val="none" w:sz="0" w:space="0" w:color="auto"/>
        <w:left w:val="none" w:sz="0" w:space="0" w:color="auto"/>
        <w:bottom w:val="none" w:sz="0" w:space="0" w:color="auto"/>
        <w:right w:val="none" w:sz="0" w:space="0" w:color="auto"/>
      </w:divBdr>
    </w:div>
    <w:div w:id="902716004">
      <w:bodyDiv w:val="1"/>
      <w:marLeft w:val="0"/>
      <w:marRight w:val="0"/>
      <w:marTop w:val="0"/>
      <w:marBottom w:val="0"/>
      <w:divBdr>
        <w:top w:val="none" w:sz="0" w:space="0" w:color="auto"/>
        <w:left w:val="none" w:sz="0" w:space="0" w:color="auto"/>
        <w:bottom w:val="none" w:sz="0" w:space="0" w:color="auto"/>
        <w:right w:val="none" w:sz="0" w:space="0" w:color="auto"/>
      </w:divBdr>
    </w:div>
    <w:div w:id="914437509">
      <w:bodyDiv w:val="1"/>
      <w:marLeft w:val="0"/>
      <w:marRight w:val="0"/>
      <w:marTop w:val="0"/>
      <w:marBottom w:val="0"/>
      <w:divBdr>
        <w:top w:val="none" w:sz="0" w:space="0" w:color="auto"/>
        <w:left w:val="none" w:sz="0" w:space="0" w:color="auto"/>
        <w:bottom w:val="none" w:sz="0" w:space="0" w:color="auto"/>
        <w:right w:val="none" w:sz="0" w:space="0" w:color="auto"/>
      </w:divBdr>
    </w:div>
    <w:div w:id="955018835">
      <w:bodyDiv w:val="1"/>
      <w:marLeft w:val="0"/>
      <w:marRight w:val="0"/>
      <w:marTop w:val="0"/>
      <w:marBottom w:val="0"/>
      <w:divBdr>
        <w:top w:val="none" w:sz="0" w:space="0" w:color="auto"/>
        <w:left w:val="none" w:sz="0" w:space="0" w:color="auto"/>
        <w:bottom w:val="none" w:sz="0" w:space="0" w:color="auto"/>
        <w:right w:val="none" w:sz="0" w:space="0" w:color="auto"/>
      </w:divBdr>
    </w:div>
    <w:div w:id="976643209">
      <w:bodyDiv w:val="1"/>
      <w:marLeft w:val="0"/>
      <w:marRight w:val="0"/>
      <w:marTop w:val="0"/>
      <w:marBottom w:val="0"/>
      <w:divBdr>
        <w:top w:val="none" w:sz="0" w:space="0" w:color="auto"/>
        <w:left w:val="none" w:sz="0" w:space="0" w:color="auto"/>
        <w:bottom w:val="none" w:sz="0" w:space="0" w:color="auto"/>
        <w:right w:val="none" w:sz="0" w:space="0" w:color="auto"/>
      </w:divBdr>
    </w:div>
    <w:div w:id="1120564600">
      <w:bodyDiv w:val="1"/>
      <w:marLeft w:val="0"/>
      <w:marRight w:val="0"/>
      <w:marTop w:val="0"/>
      <w:marBottom w:val="0"/>
      <w:divBdr>
        <w:top w:val="none" w:sz="0" w:space="0" w:color="auto"/>
        <w:left w:val="none" w:sz="0" w:space="0" w:color="auto"/>
        <w:bottom w:val="none" w:sz="0" w:space="0" w:color="auto"/>
        <w:right w:val="none" w:sz="0" w:space="0" w:color="auto"/>
      </w:divBdr>
    </w:div>
    <w:div w:id="1219243920">
      <w:bodyDiv w:val="1"/>
      <w:marLeft w:val="0"/>
      <w:marRight w:val="0"/>
      <w:marTop w:val="0"/>
      <w:marBottom w:val="0"/>
      <w:divBdr>
        <w:top w:val="none" w:sz="0" w:space="0" w:color="auto"/>
        <w:left w:val="none" w:sz="0" w:space="0" w:color="auto"/>
        <w:bottom w:val="none" w:sz="0" w:space="0" w:color="auto"/>
        <w:right w:val="none" w:sz="0" w:space="0" w:color="auto"/>
      </w:divBdr>
    </w:div>
    <w:div w:id="1373071552">
      <w:bodyDiv w:val="1"/>
      <w:marLeft w:val="0"/>
      <w:marRight w:val="0"/>
      <w:marTop w:val="0"/>
      <w:marBottom w:val="0"/>
      <w:divBdr>
        <w:top w:val="none" w:sz="0" w:space="0" w:color="auto"/>
        <w:left w:val="none" w:sz="0" w:space="0" w:color="auto"/>
        <w:bottom w:val="none" w:sz="0" w:space="0" w:color="auto"/>
        <w:right w:val="none" w:sz="0" w:space="0" w:color="auto"/>
      </w:divBdr>
    </w:div>
    <w:div w:id="1435829654">
      <w:bodyDiv w:val="1"/>
      <w:marLeft w:val="0"/>
      <w:marRight w:val="0"/>
      <w:marTop w:val="0"/>
      <w:marBottom w:val="0"/>
      <w:divBdr>
        <w:top w:val="none" w:sz="0" w:space="0" w:color="auto"/>
        <w:left w:val="none" w:sz="0" w:space="0" w:color="auto"/>
        <w:bottom w:val="none" w:sz="0" w:space="0" w:color="auto"/>
        <w:right w:val="none" w:sz="0" w:space="0" w:color="auto"/>
      </w:divBdr>
    </w:div>
    <w:div w:id="1538277723">
      <w:bodyDiv w:val="1"/>
      <w:marLeft w:val="0"/>
      <w:marRight w:val="0"/>
      <w:marTop w:val="0"/>
      <w:marBottom w:val="0"/>
      <w:divBdr>
        <w:top w:val="none" w:sz="0" w:space="0" w:color="auto"/>
        <w:left w:val="none" w:sz="0" w:space="0" w:color="auto"/>
        <w:bottom w:val="none" w:sz="0" w:space="0" w:color="auto"/>
        <w:right w:val="none" w:sz="0" w:space="0" w:color="auto"/>
      </w:divBdr>
      <w:divsChild>
        <w:div w:id="325593837">
          <w:marLeft w:val="0"/>
          <w:marRight w:val="0"/>
          <w:marTop w:val="0"/>
          <w:marBottom w:val="0"/>
          <w:divBdr>
            <w:top w:val="none" w:sz="0" w:space="0" w:color="auto"/>
            <w:left w:val="none" w:sz="0" w:space="0" w:color="auto"/>
            <w:bottom w:val="none" w:sz="0" w:space="0" w:color="auto"/>
            <w:right w:val="none" w:sz="0" w:space="0" w:color="auto"/>
          </w:divBdr>
        </w:div>
        <w:div w:id="1007753091">
          <w:marLeft w:val="0"/>
          <w:marRight w:val="0"/>
          <w:marTop w:val="0"/>
          <w:marBottom w:val="0"/>
          <w:divBdr>
            <w:top w:val="none" w:sz="0" w:space="0" w:color="auto"/>
            <w:left w:val="none" w:sz="0" w:space="0" w:color="auto"/>
            <w:bottom w:val="none" w:sz="0" w:space="0" w:color="auto"/>
            <w:right w:val="none" w:sz="0" w:space="0" w:color="auto"/>
          </w:divBdr>
        </w:div>
        <w:div w:id="1625232962">
          <w:marLeft w:val="0"/>
          <w:marRight w:val="0"/>
          <w:marTop w:val="0"/>
          <w:marBottom w:val="0"/>
          <w:divBdr>
            <w:top w:val="none" w:sz="0" w:space="0" w:color="auto"/>
            <w:left w:val="none" w:sz="0" w:space="0" w:color="auto"/>
            <w:bottom w:val="none" w:sz="0" w:space="0" w:color="auto"/>
            <w:right w:val="none" w:sz="0" w:space="0" w:color="auto"/>
          </w:divBdr>
        </w:div>
        <w:div w:id="1721631532">
          <w:marLeft w:val="0"/>
          <w:marRight w:val="0"/>
          <w:marTop w:val="0"/>
          <w:marBottom w:val="0"/>
          <w:divBdr>
            <w:top w:val="none" w:sz="0" w:space="0" w:color="auto"/>
            <w:left w:val="none" w:sz="0" w:space="0" w:color="auto"/>
            <w:bottom w:val="none" w:sz="0" w:space="0" w:color="auto"/>
            <w:right w:val="none" w:sz="0" w:space="0" w:color="auto"/>
          </w:divBdr>
        </w:div>
      </w:divsChild>
    </w:div>
    <w:div w:id="1558197639">
      <w:bodyDiv w:val="1"/>
      <w:marLeft w:val="0"/>
      <w:marRight w:val="0"/>
      <w:marTop w:val="0"/>
      <w:marBottom w:val="0"/>
      <w:divBdr>
        <w:top w:val="none" w:sz="0" w:space="0" w:color="auto"/>
        <w:left w:val="none" w:sz="0" w:space="0" w:color="auto"/>
        <w:bottom w:val="none" w:sz="0" w:space="0" w:color="auto"/>
        <w:right w:val="none" w:sz="0" w:space="0" w:color="auto"/>
      </w:divBdr>
    </w:div>
    <w:div w:id="1855797991">
      <w:bodyDiv w:val="1"/>
      <w:marLeft w:val="0"/>
      <w:marRight w:val="0"/>
      <w:marTop w:val="0"/>
      <w:marBottom w:val="0"/>
      <w:divBdr>
        <w:top w:val="none" w:sz="0" w:space="0" w:color="auto"/>
        <w:left w:val="none" w:sz="0" w:space="0" w:color="auto"/>
        <w:bottom w:val="none" w:sz="0" w:space="0" w:color="auto"/>
        <w:right w:val="none" w:sz="0" w:space="0" w:color="auto"/>
      </w:divBdr>
    </w:div>
    <w:div w:id="1948584750">
      <w:bodyDiv w:val="1"/>
      <w:marLeft w:val="0"/>
      <w:marRight w:val="0"/>
      <w:marTop w:val="0"/>
      <w:marBottom w:val="0"/>
      <w:divBdr>
        <w:top w:val="none" w:sz="0" w:space="0" w:color="auto"/>
        <w:left w:val="none" w:sz="0" w:space="0" w:color="auto"/>
        <w:bottom w:val="none" w:sz="0" w:space="0" w:color="auto"/>
        <w:right w:val="none" w:sz="0" w:space="0" w:color="auto"/>
      </w:divBdr>
      <w:divsChild>
        <w:div w:id="1374304762">
          <w:marLeft w:val="0"/>
          <w:marRight w:val="0"/>
          <w:marTop w:val="0"/>
          <w:marBottom w:val="0"/>
          <w:divBdr>
            <w:top w:val="none" w:sz="0" w:space="0" w:color="auto"/>
            <w:left w:val="none" w:sz="0" w:space="0" w:color="auto"/>
            <w:bottom w:val="none" w:sz="0" w:space="0" w:color="auto"/>
            <w:right w:val="none" w:sz="0" w:space="0" w:color="auto"/>
          </w:divBdr>
        </w:div>
      </w:divsChild>
    </w:div>
    <w:div w:id="2014915618">
      <w:bodyDiv w:val="1"/>
      <w:marLeft w:val="0"/>
      <w:marRight w:val="0"/>
      <w:marTop w:val="0"/>
      <w:marBottom w:val="0"/>
      <w:divBdr>
        <w:top w:val="none" w:sz="0" w:space="0" w:color="auto"/>
        <w:left w:val="none" w:sz="0" w:space="0" w:color="auto"/>
        <w:bottom w:val="none" w:sz="0" w:space="0" w:color="auto"/>
        <w:right w:val="none" w:sz="0" w:space="0" w:color="auto"/>
      </w:divBdr>
    </w:div>
    <w:div w:id="21362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EBC5-12BB-4FA8-99E4-477E02E9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FR Info (Title, Volume, Pages)</vt:lpstr>
    </vt:vector>
  </TitlesOfParts>
  <Company>State of Utah DEQ</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Info (Title, Volume, Pages)</dc:title>
  <dc:subject/>
  <dc:creator>Liam Thrailkill</dc:creator>
  <cp:keywords/>
  <cp:lastModifiedBy>Liam Thrailkill</cp:lastModifiedBy>
  <cp:revision>2</cp:revision>
  <cp:lastPrinted>2017-12-06T22:02:00Z</cp:lastPrinted>
  <dcterms:created xsi:type="dcterms:W3CDTF">2021-01-15T00:27:00Z</dcterms:created>
  <dcterms:modified xsi:type="dcterms:W3CDTF">2021-01-15T00:27:00Z</dcterms:modified>
</cp:coreProperties>
</file>